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AD3B0" w14:textId="77777777" w:rsidR="003B6D90" w:rsidRPr="00173B46" w:rsidRDefault="00464E53" w:rsidP="00173B46">
      <w:pPr>
        <w:pStyle w:val="Heading3"/>
        <w:tabs>
          <w:tab w:val="left" w:pos="1620"/>
          <w:tab w:val="left" w:pos="3060"/>
        </w:tabs>
        <w:jc w:val="center"/>
        <w:rPr>
          <w:rFonts w:ascii="Arial" w:hAnsi="Arial" w:cs="Arial"/>
          <w:sz w:val="18"/>
          <w:szCs w:val="18"/>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14:anchorId="3AEAD4D4" wp14:editId="3AEAD4D5">
            <wp:simplePos x="0" y="0"/>
            <wp:positionH relativeFrom="column">
              <wp:posOffset>8401050</wp:posOffset>
            </wp:positionH>
            <wp:positionV relativeFrom="paragraph">
              <wp:posOffset>-187960</wp:posOffset>
            </wp:positionV>
            <wp:extent cx="1496695" cy="340360"/>
            <wp:effectExtent l="0" t="0" r="8255" b="2540"/>
            <wp:wrapNone/>
            <wp:docPr id="3" name="Picture 3" descr="C:\Users\mike.gilbert\AppData\Local\Microsoft\Windows\Temporary Internet Files\Content.Outlook\Q77N02HJ\Dartford Gravesham and Swanley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gilbert\AppData\Local\Microsoft\Windows\Temporary Internet Files\Content.Outlook\Q77N02HJ\Dartford Gravesham and Swanley CCG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69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DFC">
        <w:rPr>
          <w:rFonts w:ascii="Arial" w:hAnsi="Arial" w:cs="Arial"/>
        </w:rPr>
        <w:t xml:space="preserve"> MONITORING</w:t>
      </w:r>
      <w:r w:rsidR="002805DF">
        <w:rPr>
          <w:rFonts w:ascii="Arial" w:hAnsi="Arial" w:cs="Arial"/>
        </w:rPr>
        <w:t xml:space="preserve"> DRUG THERAPY</w:t>
      </w:r>
      <w:r w:rsidR="00667A22">
        <w:rPr>
          <w:rFonts w:ascii="Arial" w:hAnsi="Arial" w:cs="Arial"/>
        </w:rPr>
        <w:t xml:space="preserve">          </w:t>
      </w:r>
    </w:p>
    <w:p w14:paraId="3AEAD3B1" w14:textId="77777777" w:rsidR="005C45B2" w:rsidRPr="005F0F41" w:rsidRDefault="00402DFC" w:rsidP="00173B46">
      <w:pPr>
        <w:ind w:left="-142" w:right="-145"/>
        <w:rPr>
          <w:rFonts w:ascii="Arial" w:hAnsi="Arial" w:cs="Arial"/>
          <w:b/>
          <w:bCs/>
          <w:sz w:val="16"/>
          <w:szCs w:val="16"/>
        </w:rPr>
      </w:pPr>
      <w:r w:rsidRPr="005F0F41">
        <w:rPr>
          <w:rFonts w:ascii="Arial" w:hAnsi="Arial" w:cs="Arial"/>
          <w:b/>
          <w:bCs/>
          <w:sz w:val="16"/>
          <w:szCs w:val="16"/>
        </w:rPr>
        <w:t xml:space="preserve">This guidance is intended </w:t>
      </w:r>
      <w:r w:rsidR="00EF3767" w:rsidRPr="005F0F41">
        <w:rPr>
          <w:rFonts w:ascii="Arial" w:hAnsi="Arial" w:cs="Arial"/>
          <w:b/>
          <w:bCs/>
          <w:sz w:val="16"/>
          <w:szCs w:val="16"/>
        </w:rPr>
        <w:t>as a quick reference only</w:t>
      </w:r>
      <w:r w:rsidRPr="005F0F41">
        <w:rPr>
          <w:rFonts w:ascii="Arial" w:hAnsi="Arial" w:cs="Arial"/>
          <w:b/>
          <w:bCs/>
          <w:sz w:val="16"/>
          <w:szCs w:val="16"/>
        </w:rPr>
        <w:t>.  For further details prescribers should refer to the latest BNF or the individual SPC (Summary of Product Characteristics) available on</w:t>
      </w:r>
      <w:r w:rsidR="002828BD" w:rsidRPr="005F0F41">
        <w:rPr>
          <w:rFonts w:ascii="Arial" w:hAnsi="Arial" w:cs="Arial"/>
          <w:b/>
          <w:bCs/>
          <w:sz w:val="16"/>
          <w:szCs w:val="16"/>
        </w:rPr>
        <w:t xml:space="preserve"> </w:t>
      </w:r>
      <w:r w:rsidR="00EC457C" w:rsidRPr="005F0F41">
        <w:rPr>
          <w:rFonts w:ascii="Arial" w:hAnsi="Arial" w:cs="Arial"/>
          <w:b/>
          <w:bCs/>
          <w:color w:val="0000FF"/>
          <w:sz w:val="16"/>
          <w:szCs w:val="16"/>
        </w:rPr>
        <w:t>www.medicines.org.uk</w:t>
      </w:r>
      <w:r w:rsidRPr="005F0F41">
        <w:rPr>
          <w:rFonts w:ascii="Arial" w:hAnsi="Arial" w:cs="Arial"/>
          <w:b/>
          <w:bCs/>
          <w:sz w:val="16"/>
          <w:szCs w:val="16"/>
        </w:rPr>
        <w:t xml:space="preserve"> or any relevant local guidance.</w:t>
      </w:r>
    </w:p>
    <w:p w14:paraId="3AEAD3B2" w14:textId="77777777" w:rsidR="00402DFC" w:rsidRPr="00563F9E" w:rsidRDefault="00FC548F" w:rsidP="001848BA">
      <w:pPr>
        <w:ind w:left="-142" w:right="-145"/>
        <w:rPr>
          <w:rFonts w:ascii="Arial" w:hAnsi="Arial" w:cs="Arial"/>
          <w:b/>
          <w:bCs/>
          <w:sz w:val="16"/>
        </w:rPr>
      </w:pPr>
      <w:r>
        <w:rPr>
          <w:rFonts w:ascii="Arial" w:hAnsi="Arial" w:cs="Arial"/>
          <w:b/>
          <w:bCs/>
          <w:color w:val="FF0000"/>
          <w:sz w:val="16"/>
          <w:szCs w:val="16"/>
        </w:rPr>
        <w:t xml:space="preserve">It is suggested that before </w:t>
      </w:r>
      <w:r w:rsidR="00563F9E" w:rsidRPr="001848BA">
        <w:rPr>
          <w:rFonts w:ascii="Arial" w:hAnsi="Arial" w:cs="Arial"/>
          <w:b/>
          <w:bCs/>
          <w:color w:val="FF0000"/>
          <w:sz w:val="16"/>
          <w:szCs w:val="16"/>
        </w:rPr>
        <w:t>c</w:t>
      </w:r>
      <w:r>
        <w:rPr>
          <w:rFonts w:ascii="Arial" w:hAnsi="Arial" w:cs="Arial"/>
          <w:b/>
          <w:bCs/>
          <w:color w:val="FF0000"/>
          <w:sz w:val="16"/>
          <w:szCs w:val="16"/>
        </w:rPr>
        <w:t>ommencement of all therapies</w:t>
      </w:r>
      <w:r w:rsidR="00563F9E" w:rsidRPr="001848BA">
        <w:rPr>
          <w:rFonts w:ascii="Arial" w:hAnsi="Arial" w:cs="Arial"/>
          <w:b/>
          <w:bCs/>
          <w:color w:val="FF0000"/>
          <w:sz w:val="16"/>
          <w:szCs w:val="16"/>
        </w:rPr>
        <w:t xml:space="preserve"> BP, weight, height and smoking status are recorded and additional test</w:t>
      </w:r>
      <w:r>
        <w:rPr>
          <w:rFonts w:ascii="Arial" w:hAnsi="Arial" w:cs="Arial"/>
          <w:b/>
          <w:bCs/>
          <w:color w:val="FF0000"/>
          <w:sz w:val="16"/>
          <w:szCs w:val="16"/>
        </w:rPr>
        <w:t>s</w:t>
      </w:r>
      <w:r w:rsidR="00563F9E" w:rsidRPr="001848BA">
        <w:rPr>
          <w:rFonts w:ascii="Arial" w:hAnsi="Arial" w:cs="Arial"/>
          <w:b/>
          <w:bCs/>
          <w:color w:val="FF0000"/>
          <w:sz w:val="16"/>
          <w:szCs w:val="16"/>
        </w:rPr>
        <w:t xml:space="preserve"> considered if appropriate e.g. HbA1c, lipids </w:t>
      </w:r>
      <w:r w:rsidR="005F0F41" w:rsidRPr="001848BA">
        <w:rPr>
          <w:rFonts w:ascii="Arial" w:hAnsi="Arial" w:cs="Arial"/>
          <w:b/>
          <w:bCs/>
          <w:color w:val="FF0000"/>
          <w:sz w:val="16"/>
          <w:szCs w:val="16"/>
        </w:rPr>
        <w:t>etc.</w:t>
      </w:r>
      <w:r w:rsidR="00563F9E" w:rsidRPr="001848BA">
        <w:rPr>
          <w:rFonts w:ascii="Arial" w:hAnsi="Arial" w:cs="Arial"/>
          <w:b/>
          <w:bCs/>
          <w:color w:val="FF0000"/>
          <w:sz w:val="16"/>
          <w:szCs w:val="16"/>
        </w:rPr>
        <w:t xml:space="preserve"> as well as the tests recommended below. The continued monitoring of weight and empowering positive lifestyle choices at the subsequent reviews (especially annual) is also essential.</w:t>
      </w:r>
      <w:r w:rsidR="001848BA">
        <w:rPr>
          <w:rFonts w:ascii="Arial" w:hAnsi="Arial" w:cs="Arial"/>
          <w:b/>
          <w:bCs/>
          <w:sz w:val="16"/>
          <w:szCs w:val="16"/>
        </w:rPr>
        <w:br/>
      </w:r>
      <w:r w:rsidR="005F0F41" w:rsidRPr="005F0F41">
        <w:rPr>
          <w:rFonts w:ascii="Arial" w:hAnsi="Arial" w:cs="Arial"/>
          <w:b/>
          <w:bCs/>
          <w:sz w:val="18"/>
          <w:u w:val="single"/>
        </w:rPr>
        <w:t xml:space="preserve"> </w:t>
      </w:r>
      <w:r w:rsidR="005F0F41" w:rsidRPr="005F0F41">
        <w:rPr>
          <w:rFonts w:ascii="Arial" w:hAnsi="Arial" w:cs="Arial"/>
          <w:b/>
          <w:bCs/>
          <w:sz w:val="16"/>
          <w:u w:val="single"/>
        </w:rPr>
        <w:t>Abbreviations</w:t>
      </w:r>
      <w:r w:rsidR="005F0F41" w:rsidRPr="005F0F41">
        <w:rPr>
          <w:rFonts w:ascii="Arial" w:hAnsi="Arial" w:cs="Arial"/>
          <w:b/>
          <w:bCs/>
          <w:sz w:val="16"/>
        </w:rPr>
        <w:t>: BG (Blood Glucose), BP (Blood Pres</w:t>
      </w:r>
      <w:r w:rsidR="001848BA">
        <w:rPr>
          <w:rFonts w:ascii="Arial" w:hAnsi="Arial" w:cs="Arial"/>
          <w:b/>
          <w:bCs/>
          <w:sz w:val="16"/>
        </w:rPr>
        <w:t xml:space="preserve">sure), </w:t>
      </w:r>
      <w:r w:rsidR="005F0F41" w:rsidRPr="005F0F41">
        <w:rPr>
          <w:rFonts w:ascii="Arial" w:hAnsi="Arial" w:cs="Arial"/>
          <w:b/>
          <w:bCs/>
          <w:sz w:val="16"/>
        </w:rPr>
        <w:t>CPK (Creatine Phosphokinase), CRP (C Reactive Protein), CXR (Chest X-Ray), ECG (Electrocardiogram)</w:t>
      </w:r>
      <w:r w:rsidR="001848BA">
        <w:rPr>
          <w:rFonts w:ascii="Arial" w:hAnsi="Arial" w:cs="Arial"/>
          <w:b/>
          <w:bCs/>
          <w:sz w:val="16"/>
        </w:rPr>
        <w:t>,</w:t>
      </w:r>
      <w:r w:rsidR="005F0F41" w:rsidRPr="005F0F41">
        <w:rPr>
          <w:rFonts w:ascii="Arial" w:hAnsi="Arial" w:cs="Arial"/>
          <w:b/>
          <w:bCs/>
          <w:sz w:val="16"/>
        </w:rPr>
        <w:t xml:space="preserve"> ESR (Erythrocyte Sedimentation Rate), FBC (Full Blood Count), INR (International Normalised Ratio)</w:t>
      </w:r>
      <w:r>
        <w:rPr>
          <w:rFonts w:ascii="Arial" w:hAnsi="Arial" w:cs="Arial"/>
          <w:b/>
          <w:bCs/>
          <w:sz w:val="16"/>
        </w:rPr>
        <w:t>,</w:t>
      </w:r>
      <w:r w:rsidR="005F0F41" w:rsidRPr="005F0F41">
        <w:rPr>
          <w:rFonts w:ascii="Arial" w:hAnsi="Arial" w:cs="Arial"/>
          <w:b/>
          <w:bCs/>
          <w:sz w:val="16"/>
        </w:rPr>
        <w:t xml:space="preserve"> LFT’s (Liver Function Tes</w:t>
      </w:r>
      <w:r>
        <w:rPr>
          <w:rFonts w:ascii="Arial" w:hAnsi="Arial" w:cs="Arial"/>
          <w:b/>
          <w:bCs/>
          <w:sz w:val="16"/>
        </w:rPr>
        <w:t>ts), P(Pulse), RFT’s(Renal Function Tests, UE</w:t>
      </w:r>
      <w:r w:rsidR="005F0F41" w:rsidRPr="005F0F41">
        <w:rPr>
          <w:rFonts w:ascii="Arial" w:hAnsi="Arial" w:cs="Arial"/>
          <w:b/>
          <w:bCs/>
          <w:sz w:val="16"/>
        </w:rPr>
        <w:t xml:space="preserve"> </w:t>
      </w:r>
      <w:r>
        <w:rPr>
          <w:rFonts w:ascii="Arial" w:hAnsi="Arial" w:cs="Arial"/>
          <w:b/>
          <w:bCs/>
          <w:sz w:val="16"/>
        </w:rPr>
        <w:t>(</w:t>
      </w:r>
      <w:r w:rsidR="005F0F41" w:rsidRPr="005F0F41">
        <w:rPr>
          <w:rFonts w:ascii="Arial" w:hAnsi="Arial" w:cs="Arial"/>
          <w:b/>
          <w:bCs/>
          <w:sz w:val="16"/>
        </w:rPr>
        <w:t>Urine&amp;Electrolytes),TFT’s (Thyroid Function Tests), Tx (Drug treatment), Urine</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377"/>
        <w:gridCol w:w="1204"/>
        <w:gridCol w:w="1276"/>
        <w:gridCol w:w="3258"/>
        <w:gridCol w:w="1060"/>
        <w:gridCol w:w="4973"/>
      </w:tblGrid>
      <w:tr w:rsidR="00563F9E" w14:paraId="3AEAD3BB" w14:textId="77777777" w:rsidTr="002772F3">
        <w:tc>
          <w:tcPr>
            <w:tcW w:w="1772" w:type="dxa"/>
            <w:tcBorders>
              <w:bottom w:val="single" w:sz="4" w:space="0" w:color="auto"/>
            </w:tcBorders>
            <w:shd w:val="clear" w:color="auto" w:fill="CCFFCC"/>
          </w:tcPr>
          <w:p w14:paraId="3AEAD3B3" w14:textId="77777777" w:rsidR="00563F9E" w:rsidRDefault="00402DFC">
            <w:pPr>
              <w:pStyle w:val="Heading6"/>
              <w:rPr>
                <w:rFonts w:ascii="Arial" w:hAnsi="Arial" w:cs="Arial"/>
                <w:color w:val="000000"/>
                <w:sz w:val="16"/>
              </w:rPr>
            </w:pPr>
            <w:r>
              <w:rPr>
                <w:rFonts w:ascii="Arial" w:hAnsi="Arial" w:cs="Arial"/>
                <w:b w:val="0"/>
                <w:bCs w:val="0"/>
                <w:sz w:val="16"/>
              </w:rPr>
              <w:t xml:space="preserve"> </w:t>
            </w:r>
            <w:r w:rsidR="00563F9E">
              <w:rPr>
                <w:rFonts w:ascii="Arial" w:hAnsi="Arial" w:cs="Arial"/>
                <w:color w:val="000000"/>
                <w:sz w:val="16"/>
              </w:rPr>
              <w:t>Drug</w:t>
            </w:r>
          </w:p>
        </w:tc>
        <w:tc>
          <w:tcPr>
            <w:tcW w:w="2377" w:type="dxa"/>
            <w:tcBorders>
              <w:bottom w:val="single" w:sz="4" w:space="0" w:color="auto"/>
            </w:tcBorders>
            <w:shd w:val="clear" w:color="auto" w:fill="CCFFCC"/>
          </w:tcPr>
          <w:p w14:paraId="3AEAD3B4" w14:textId="77777777" w:rsidR="00563F9E" w:rsidRDefault="00563F9E">
            <w:pPr>
              <w:rPr>
                <w:rFonts w:ascii="Arial" w:hAnsi="Arial" w:cs="Arial"/>
                <w:b/>
                <w:bCs/>
                <w:color w:val="000000"/>
                <w:sz w:val="16"/>
              </w:rPr>
            </w:pPr>
            <w:r>
              <w:rPr>
                <w:rFonts w:ascii="Arial" w:hAnsi="Arial" w:cs="Arial"/>
                <w:b/>
                <w:bCs/>
                <w:color w:val="000000"/>
                <w:sz w:val="16"/>
              </w:rPr>
              <w:t>Tests before therapy</w:t>
            </w:r>
          </w:p>
        </w:tc>
        <w:tc>
          <w:tcPr>
            <w:tcW w:w="1204" w:type="dxa"/>
            <w:tcBorders>
              <w:bottom w:val="single" w:sz="4" w:space="0" w:color="auto"/>
            </w:tcBorders>
            <w:shd w:val="clear" w:color="auto" w:fill="CCFFCC"/>
          </w:tcPr>
          <w:p w14:paraId="3AEAD3B5" w14:textId="77777777" w:rsidR="00563F9E" w:rsidRDefault="00563F9E">
            <w:pPr>
              <w:rPr>
                <w:rFonts w:ascii="Arial" w:hAnsi="Arial" w:cs="Arial"/>
                <w:b/>
                <w:bCs/>
                <w:color w:val="000000"/>
                <w:sz w:val="16"/>
              </w:rPr>
            </w:pPr>
            <w:r>
              <w:rPr>
                <w:rFonts w:ascii="Arial" w:hAnsi="Arial" w:cs="Arial"/>
                <w:b/>
                <w:bCs/>
                <w:color w:val="000000"/>
                <w:sz w:val="16"/>
              </w:rPr>
              <w:t>Tests during therapy</w:t>
            </w:r>
          </w:p>
        </w:tc>
        <w:tc>
          <w:tcPr>
            <w:tcW w:w="1276" w:type="dxa"/>
            <w:tcBorders>
              <w:bottom w:val="single" w:sz="4" w:space="0" w:color="auto"/>
            </w:tcBorders>
            <w:shd w:val="clear" w:color="auto" w:fill="CCFFCC"/>
          </w:tcPr>
          <w:p w14:paraId="3AEAD3B6" w14:textId="77777777" w:rsidR="00563F9E" w:rsidRDefault="00563F9E">
            <w:pPr>
              <w:ind w:right="-288"/>
              <w:rPr>
                <w:rFonts w:ascii="Arial" w:hAnsi="Arial" w:cs="Arial"/>
                <w:b/>
                <w:bCs/>
                <w:color w:val="000000"/>
                <w:sz w:val="16"/>
              </w:rPr>
            </w:pPr>
            <w:r>
              <w:rPr>
                <w:rFonts w:ascii="Arial" w:hAnsi="Arial" w:cs="Arial"/>
                <w:b/>
                <w:bCs/>
                <w:color w:val="000000"/>
                <w:sz w:val="16"/>
              </w:rPr>
              <w:t>Frequency</w:t>
            </w:r>
          </w:p>
        </w:tc>
        <w:tc>
          <w:tcPr>
            <w:tcW w:w="3258" w:type="dxa"/>
            <w:tcBorders>
              <w:bottom w:val="single" w:sz="4" w:space="0" w:color="auto"/>
            </w:tcBorders>
            <w:shd w:val="clear" w:color="auto" w:fill="CCFFCC"/>
          </w:tcPr>
          <w:p w14:paraId="3AEAD3B7" w14:textId="77777777" w:rsidR="00563F9E" w:rsidRDefault="00563F9E">
            <w:pPr>
              <w:pStyle w:val="Heading9"/>
              <w:rPr>
                <w:rFonts w:ascii="Arial" w:hAnsi="Arial" w:cs="Arial"/>
                <w:sz w:val="16"/>
              </w:rPr>
            </w:pPr>
            <w:r>
              <w:rPr>
                <w:rFonts w:ascii="Arial" w:hAnsi="Arial" w:cs="Arial"/>
                <w:sz w:val="16"/>
              </w:rPr>
              <w:t>Notes on Frequency</w:t>
            </w:r>
          </w:p>
        </w:tc>
        <w:tc>
          <w:tcPr>
            <w:tcW w:w="1060" w:type="dxa"/>
            <w:tcBorders>
              <w:bottom w:val="single" w:sz="4" w:space="0" w:color="auto"/>
            </w:tcBorders>
            <w:shd w:val="clear" w:color="auto" w:fill="CCFFCC"/>
          </w:tcPr>
          <w:p w14:paraId="3AEAD3B8" w14:textId="77777777" w:rsidR="00563F9E" w:rsidRDefault="00563F9E">
            <w:pPr>
              <w:pStyle w:val="Heading9"/>
              <w:rPr>
                <w:rFonts w:ascii="Arial" w:hAnsi="Arial" w:cs="Arial"/>
                <w:sz w:val="16"/>
              </w:rPr>
            </w:pPr>
            <w:r>
              <w:rPr>
                <w:rFonts w:ascii="Arial" w:hAnsi="Arial" w:cs="Arial"/>
                <w:sz w:val="16"/>
              </w:rPr>
              <w:t>Drug</w:t>
            </w:r>
          </w:p>
          <w:p w14:paraId="3AEAD3B9" w14:textId="77777777" w:rsidR="00563F9E" w:rsidRDefault="00563F9E">
            <w:pPr>
              <w:rPr>
                <w:rFonts w:ascii="Arial" w:hAnsi="Arial"/>
                <w:b/>
                <w:bCs/>
                <w:sz w:val="16"/>
              </w:rPr>
            </w:pPr>
            <w:r>
              <w:rPr>
                <w:rFonts w:ascii="Arial" w:hAnsi="Arial"/>
                <w:b/>
                <w:bCs/>
                <w:sz w:val="16"/>
              </w:rPr>
              <w:t>Levels</w:t>
            </w:r>
          </w:p>
        </w:tc>
        <w:tc>
          <w:tcPr>
            <w:tcW w:w="4973" w:type="dxa"/>
            <w:tcBorders>
              <w:bottom w:val="single" w:sz="4" w:space="0" w:color="auto"/>
            </w:tcBorders>
            <w:shd w:val="clear" w:color="auto" w:fill="CCFFCC"/>
          </w:tcPr>
          <w:p w14:paraId="3AEAD3BA" w14:textId="77777777" w:rsidR="00563F9E" w:rsidRDefault="00563F9E">
            <w:pPr>
              <w:pStyle w:val="Heading9"/>
              <w:rPr>
                <w:rFonts w:ascii="Arial" w:hAnsi="Arial" w:cs="Arial"/>
                <w:sz w:val="16"/>
              </w:rPr>
            </w:pPr>
            <w:r>
              <w:rPr>
                <w:rFonts w:ascii="Arial" w:hAnsi="Arial" w:cs="Arial"/>
                <w:sz w:val="16"/>
              </w:rPr>
              <w:t>Notes</w:t>
            </w:r>
          </w:p>
        </w:tc>
      </w:tr>
      <w:tr w:rsidR="00563F9E" w14:paraId="3AEAD3C3" w14:textId="77777777" w:rsidTr="002772F3">
        <w:tc>
          <w:tcPr>
            <w:tcW w:w="1772" w:type="dxa"/>
            <w:shd w:val="clear" w:color="auto" w:fill="FFCCCC"/>
            <w:vAlign w:val="center"/>
          </w:tcPr>
          <w:p w14:paraId="3AEAD3BC" w14:textId="77777777" w:rsidR="00563F9E" w:rsidRDefault="00563F9E" w:rsidP="00D26728">
            <w:pPr>
              <w:jc w:val="center"/>
              <w:rPr>
                <w:rFonts w:ascii="Arial" w:hAnsi="Arial" w:cs="Arial"/>
                <w:b/>
                <w:bCs/>
                <w:color w:val="000000"/>
                <w:sz w:val="16"/>
              </w:rPr>
            </w:pPr>
            <w:r w:rsidRPr="00563F9E">
              <w:rPr>
                <w:rFonts w:ascii="Arial" w:hAnsi="Arial" w:cs="Arial"/>
                <w:b/>
                <w:bCs/>
                <w:color w:val="000000"/>
                <w:sz w:val="16"/>
              </w:rPr>
              <w:t>Aminosalicylates  e.g.</w:t>
            </w:r>
            <w:r>
              <w:rPr>
                <w:rFonts w:ascii="Arial" w:hAnsi="Arial" w:cs="Arial"/>
                <w:b/>
                <w:bCs/>
                <w:color w:val="000000"/>
                <w:sz w:val="16"/>
              </w:rPr>
              <w:t xml:space="preserve"> Mesalazine, Sulfasalazine </w:t>
            </w:r>
            <w:r w:rsidR="005F0F41">
              <w:rPr>
                <w:rFonts w:ascii="Arial" w:hAnsi="Arial" w:cs="Arial"/>
                <w:b/>
                <w:bCs/>
                <w:color w:val="000000"/>
                <w:sz w:val="16"/>
              </w:rPr>
              <w:t>etc.</w:t>
            </w:r>
          </w:p>
        </w:tc>
        <w:tc>
          <w:tcPr>
            <w:tcW w:w="2377" w:type="dxa"/>
            <w:shd w:val="clear" w:color="auto" w:fill="FFFF99"/>
            <w:vAlign w:val="center"/>
          </w:tcPr>
          <w:p w14:paraId="3AEAD3BD" w14:textId="77777777" w:rsidR="00563F9E" w:rsidRDefault="00563F9E">
            <w:pPr>
              <w:rPr>
                <w:rFonts w:ascii="Arial" w:hAnsi="Arial" w:cs="Arial"/>
                <w:color w:val="000000"/>
                <w:sz w:val="16"/>
                <w:szCs w:val="16"/>
              </w:rPr>
            </w:pPr>
            <w:r>
              <w:rPr>
                <w:rFonts w:ascii="Arial" w:hAnsi="Arial" w:cs="Arial"/>
                <w:color w:val="000000"/>
                <w:sz w:val="16"/>
                <w:szCs w:val="16"/>
              </w:rPr>
              <w:t>FBC,UE,LFT</w:t>
            </w:r>
          </w:p>
        </w:tc>
        <w:tc>
          <w:tcPr>
            <w:tcW w:w="1204" w:type="dxa"/>
            <w:shd w:val="clear" w:color="auto" w:fill="FFFF99"/>
            <w:vAlign w:val="center"/>
          </w:tcPr>
          <w:p w14:paraId="3AEAD3BE" w14:textId="77777777" w:rsidR="00563F9E" w:rsidRDefault="00563F9E">
            <w:pPr>
              <w:rPr>
                <w:rFonts w:ascii="Arial" w:hAnsi="Arial" w:cs="Arial"/>
                <w:color w:val="000000"/>
                <w:sz w:val="16"/>
                <w:szCs w:val="16"/>
              </w:rPr>
            </w:pPr>
            <w:r>
              <w:rPr>
                <w:rFonts w:ascii="Arial" w:hAnsi="Arial" w:cs="Arial"/>
                <w:color w:val="000000"/>
                <w:sz w:val="16"/>
                <w:szCs w:val="16"/>
              </w:rPr>
              <w:t>FBC,UE,LFT</w:t>
            </w:r>
          </w:p>
        </w:tc>
        <w:tc>
          <w:tcPr>
            <w:tcW w:w="1276" w:type="dxa"/>
            <w:shd w:val="clear" w:color="auto" w:fill="FFFF99"/>
            <w:vAlign w:val="center"/>
          </w:tcPr>
          <w:p w14:paraId="3AEAD3BF" w14:textId="77777777" w:rsidR="00563F9E" w:rsidRDefault="00563F9E">
            <w:pPr>
              <w:rPr>
                <w:rFonts w:ascii="Arial" w:hAnsi="Arial" w:cs="Arial"/>
                <w:color w:val="000000"/>
                <w:sz w:val="16"/>
                <w:szCs w:val="16"/>
              </w:rPr>
            </w:pPr>
            <w:r>
              <w:rPr>
                <w:rFonts w:ascii="Arial" w:hAnsi="Arial" w:cs="Arial"/>
                <w:color w:val="000000"/>
                <w:sz w:val="16"/>
                <w:szCs w:val="16"/>
              </w:rPr>
              <w:t>3m</w:t>
            </w:r>
          </w:p>
        </w:tc>
        <w:tc>
          <w:tcPr>
            <w:tcW w:w="3258" w:type="dxa"/>
            <w:shd w:val="clear" w:color="auto" w:fill="FFFF99"/>
          </w:tcPr>
          <w:p w14:paraId="3AEAD3C0" w14:textId="77777777" w:rsidR="00563F9E" w:rsidRDefault="00563F9E">
            <w:pPr>
              <w:rPr>
                <w:rFonts w:ascii="Arial" w:hAnsi="Arial" w:cs="Arial"/>
                <w:sz w:val="16"/>
              </w:rPr>
            </w:pPr>
            <w:r w:rsidRPr="00563F9E">
              <w:rPr>
                <w:rFonts w:ascii="Arial" w:hAnsi="Arial" w:cs="Arial"/>
                <w:sz w:val="16"/>
              </w:rPr>
              <w:t>monthly for first 3 months, then 3 monthly, 1st year, then 6 monthly thereafter, more frequent if required, if blood dyscrasia suspected then bloods should be reviewed immediately.</w:t>
            </w:r>
          </w:p>
        </w:tc>
        <w:tc>
          <w:tcPr>
            <w:tcW w:w="1060" w:type="dxa"/>
            <w:shd w:val="clear" w:color="auto" w:fill="FFFF99"/>
          </w:tcPr>
          <w:p w14:paraId="3AEAD3C1" w14:textId="77777777" w:rsidR="00563F9E" w:rsidRDefault="00563F9E">
            <w:pPr>
              <w:rPr>
                <w:rFonts w:ascii="Arial" w:hAnsi="Arial" w:cs="Arial"/>
                <w:sz w:val="16"/>
              </w:rPr>
            </w:pPr>
          </w:p>
        </w:tc>
        <w:tc>
          <w:tcPr>
            <w:tcW w:w="4973" w:type="dxa"/>
            <w:shd w:val="clear" w:color="auto" w:fill="FFFF99"/>
          </w:tcPr>
          <w:p w14:paraId="3AEAD3C2" w14:textId="77777777" w:rsidR="00563F9E" w:rsidRDefault="00563F9E" w:rsidP="00312103">
            <w:pPr>
              <w:rPr>
                <w:rFonts w:ascii="Arial" w:hAnsi="Arial" w:cs="Arial"/>
                <w:sz w:val="16"/>
              </w:rPr>
            </w:pPr>
            <w:r w:rsidRPr="00563F9E">
              <w:rPr>
                <w:rFonts w:ascii="Arial" w:hAnsi="Arial" w:cs="Arial"/>
                <w:sz w:val="16"/>
              </w:rPr>
              <w:t>Blood dyscrasias rare- patient should report unexplained symptoms as explained in the sulfasalazine notes at the bottom of the page.</w:t>
            </w:r>
          </w:p>
        </w:tc>
      </w:tr>
      <w:tr w:rsidR="007220E4" w14:paraId="3AEAD3C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C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ACE inhibitors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C5" w14:textId="77777777" w:rsidR="007220E4" w:rsidRDefault="007220E4">
            <w:pPr>
              <w:rPr>
                <w:rFonts w:ascii="Arial" w:hAnsi="Arial" w:cs="Arial"/>
                <w:color w:val="000000"/>
                <w:sz w:val="16"/>
                <w:szCs w:val="16"/>
              </w:rPr>
            </w:pPr>
            <w:r>
              <w:rPr>
                <w:rFonts w:ascii="Arial" w:hAnsi="Arial" w:cs="Arial"/>
                <w:color w:val="000000"/>
                <w:sz w:val="16"/>
                <w:szCs w:val="16"/>
              </w:rPr>
              <w:t>UE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C6" w14:textId="77777777" w:rsidR="007220E4" w:rsidRDefault="007220E4">
            <w:pPr>
              <w:rPr>
                <w:rFonts w:ascii="Arial" w:hAnsi="Arial" w:cs="Arial"/>
                <w:color w:val="000000"/>
                <w:sz w:val="16"/>
                <w:szCs w:val="16"/>
              </w:rPr>
            </w:pPr>
            <w:r>
              <w:rPr>
                <w:rFonts w:ascii="Arial" w:hAnsi="Arial" w:cs="Arial"/>
                <w:color w:val="000000"/>
                <w:sz w:val="16"/>
                <w:szCs w:val="16"/>
              </w:rPr>
              <w:t>UE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C7" w14:textId="77777777" w:rsidR="007220E4" w:rsidRDefault="007220E4">
            <w:pPr>
              <w:rPr>
                <w:rFonts w:ascii="Arial" w:hAnsi="Arial" w:cs="Arial"/>
                <w:color w:val="000000"/>
                <w:sz w:val="16"/>
                <w:szCs w:val="16"/>
              </w:rPr>
            </w:pPr>
            <w:r>
              <w:rPr>
                <w:rFonts w:ascii="Arial" w:hAnsi="Arial" w:cs="Arial"/>
                <w:color w:val="000000"/>
                <w:sz w:val="16"/>
                <w:szCs w:val="16"/>
              </w:rPr>
              <w:t>&lt;14d then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C8" w14:textId="77777777" w:rsidR="007220E4" w:rsidRPr="007220E4" w:rsidRDefault="007220E4">
            <w:pPr>
              <w:rPr>
                <w:rFonts w:ascii="Arial" w:hAnsi="Arial" w:cs="Arial"/>
                <w:sz w:val="16"/>
              </w:rPr>
            </w:pPr>
            <w:r w:rsidRPr="007220E4">
              <w:rPr>
                <w:rFonts w:ascii="Arial" w:hAnsi="Arial" w:cs="Arial"/>
                <w:sz w:val="16"/>
              </w:rPr>
              <w:t>7-14 days after starting Tx or changing doses, then at least annually. Otherwise as per notes</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C9"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CA" w14:textId="77777777" w:rsidR="007220E4" w:rsidRPr="007220E4" w:rsidRDefault="007220E4">
            <w:pPr>
              <w:rPr>
                <w:rFonts w:ascii="Arial" w:hAnsi="Arial" w:cs="Arial"/>
                <w:sz w:val="16"/>
              </w:rPr>
            </w:pPr>
            <w:r w:rsidRPr="007220E4">
              <w:rPr>
                <w:rFonts w:ascii="Arial" w:hAnsi="Arial" w:cs="Arial"/>
                <w:sz w:val="16"/>
              </w:rPr>
              <w:t>Monitor more frequently in high-risk patients, e.g. unstable heart failure, re</w:t>
            </w:r>
            <w:r w:rsidR="00FC548F">
              <w:rPr>
                <w:rFonts w:ascii="Arial" w:hAnsi="Arial" w:cs="Arial"/>
                <w:sz w:val="16"/>
              </w:rPr>
              <w:t>ca2+</w:t>
            </w:r>
            <w:r w:rsidRPr="007220E4">
              <w:rPr>
                <w:rFonts w:ascii="Arial" w:hAnsi="Arial" w:cs="Arial"/>
                <w:sz w:val="16"/>
              </w:rPr>
              <w:t xml:space="preserve">nal impairment, or if doses changing.  </w:t>
            </w:r>
          </w:p>
        </w:tc>
      </w:tr>
      <w:tr w:rsidR="007220E4" w14:paraId="3AEAD3D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CC"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Amiodarone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CD" w14:textId="77777777" w:rsidR="007220E4" w:rsidRDefault="007220E4">
            <w:pPr>
              <w:rPr>
                <w:rFonts w:ascii="Arial" w:hAnsi="Arial" w:cs="Arial"/>
                <w:color w:val="000000"/>
                <w:sz w:val="16"/>
                <w:szCs w:val="16"/>
              </w:rPr>
            </w:pPr>
            <w:r>
              <w:rPr>
                <w:rFonts w:ascii="Arial" w:hAnsi="Arial" w:cs="Arial"/>
                <w:color w:val="000000"/>
                <w:sz w:val="16"/>
                <w:szCs w:val="16"/>
              </w:rPr>
              <w:t>TFT,LFT,UE, CXR,ECG</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CE" w14:textId="77777777" w:rsidR="007220E4" w:rsidRDefault="007220E4">
            <w:pPr>
              <w:rPr>
                <w:rFonts w:ascii="Arial" w:hAnsi="Arial" w:cs="Arial"/>
                <w:color w:val="000000"/>
                <w:sz w:val="16"/>
                <w:szCs w:val="16"/>
              </w:rPr>
            </w:pPr>
            <w:r>
              <w:rPr>
                <w:rFonts w:ascii="Arial" w:hAnsi="Arial" w:cs="Arial"/>
                <w:color w:val="000000"/>
                <w:sz w:val="16"/>
                <w:szCs w:val="16"/>
              </w:rPr>
              <w:t>TFT,LFT,UE, CXR</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CF" w14:textId="77777777" w:rsidR="007220E4" w:rsidRDefault="007220E4">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D0" w14:textId="77777777" w:rsidR="007220E4" w:rsidRPr="007220E4" w:rsidRDefault="007220E4">
            <w:pPr>
              <w:rPr>
                <w:rFonts w:ascii="Arial" w:hAnsi="Arial" w:cs="Arial"/>
                <w:sz w:val="16"/>
              </w:rPr>
            </w:pPr>
            <w:r w:rsidRPr="007220E4">
              <w:rPr>
                <w:rFonts w:ascii="Arial" w:hAnsi="Arial" w:cs="Arial"/>
                <w:sz w:val="16"/>
              </w:rPr>
              <w:t>Every 6 months and several months after stopping, CXR during treatment if dyspnoea, cough or pleurisy develop.</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D1"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D2" w14:textId="77777777" w:rsidR="007220E4" w:rsidRPr="007220E4" w:rsidRDefault="007220E4">
            <w:pPr>
              <w:rPr>
                <w:rFonts w:ascii="Arial" w:hAnsi="Arial" w:cs="Arial"/>
                <w:sz w:val="16"/>
              </w:rPr>
            </w:pPr>
            <w:r w:rsidRPr="007220E4">
              <w:rPr>
                <w:rFonts w:ascii="Arial" w:hAnsi="Arial" w:cs="Arial"/>
                <w:sz w:val="16"/>
              </w:rPr>
              <w:t>SPC also recommends K+and ECG periodically, ophthalmological examination annually, more frequently if blurred or decrease in vision occurs. If pulmonary toxicity suspected CXR and lung function tests.</w:t>
            </w:r>
          </w:p>
        </w:tc>
      </w:tr>
      <w:tr w:rsidR="007220E4" w14:paraId="3AEAD3D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D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Antidepressants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D5" w14:textId="77777777" w:rsidR="007220E4" w:rsidRDefault="007220E4">
            <w:pPr>
              <w:rPr>
                <w:rFonts w:ascii="Arial" w:hAnsi="Arial" w:cs="Arial"/>
                <w:color w:val="000000"/>
                <w:sz w:val="16"/>
                <w:szCs w:val="16"/>
              </w:rPr>
            </w:pPr>
            <w:r>
              <w:rPr>
                <w:rFonts w:ascii="Arial" w:hAnsi="Arial" w:cs="Arial"/>
                <w:color w:val="000000"/>
                <w:sz w:val="16"/>
                <w:szCs w:val="16"/>
              </w:rPr>
              <w:t xml:space="preserve">UE, LFT, FBC  </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D6" w14:textId="77777777" w:rsidR="007220E4" w:rsidRDefault="007220E4">
            <w:pPr>
              <w:rPr>
                <w:rFonts w:ascii="Arial" w:hAnsi="Arial" w:cs="Arial"/>
                <w:color w:val="000000"/>
                <w:sz w:val="16"/>
                <w:szCs w:val="16"/>
              </w:rPr>
            </w:pPr>
            <w:r>
              <w:rPr>
                <w:rFonts w:ascii="Arial" w:hAnsi="Arial" w:cs="Arial"/>
                <w:color w:val="000000"/>
                <w:sz w:val="16"/>
                <w:szCs w:val="16"/>
              </w:rPr>
              <w:t>UE, FBC, LFT,ECG for venlafaxine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D7" w14:textId="77777777" w:rsidR="007220E4" w:rsidRDefault="007220E4">
            <w:pPr>
              <w:rPr>
                <w:rFonts w:ascii="Arial" w:hAnsi="Arial" w:cs="Arial"/>
                <w:color w:val="000000"/>
                <w:sz w:val="16"/>
                <w:szCs w:val="16"/>
              </w:rPr>
            </w:pPr>
            <w:r>
              <w:rPr>
                <w:rFonts w:ascii="Arial" w:hAnsi="Arial" w:cs="Arial"/>
                <w:color w:val="000000"/>
                <w:sz w:val="16"/>
                <w:szCs w:val="16"/>
              </w:rPr>
              <w:t>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D8" w14:textId="77777777" w:rsidR="007220E4" w:rsidRPr="007220E4" w:rsidRDefault="007220E4">
            <w:pPr>
              <w:rPr>
                <w:rFonts w:ascii="Arial" w:hAnsi="Arial" w:cs="Arial"/>
                <w:sz w:val="16"/>
              </w:rPr>
            </w:pPr>
            <w:r w:rsidRPr="007220E4">
              <w:rPr>
                <w:rFonts w:ascii="Arial" w:hAnsi="Arial" w:cs="Arial"/>
                <w:sz w:val="16"/>
              </w:rPr>
              <w:t>Annually. If hyponatraemia suspected (can cause SIADH).Specialist supervision required for patients on venlafaxine doses of 300mg or more daily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D9"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DA" w14:textId="77777777" w:rsidR="007220E4" w:rsidRPr="007220E4" w:rsidRDefault="007220E4">
            <w:pPr>
              <w:rPr>
                <w:rFonts w:ascii="Arial" w:hAnsi="Arial" w:cs="Arial"/>
                <w:sz w:val="16"/>
              </w:rPr>
            </w:pPr>
            <w:r w:rsidRPr="007220E4">
              <w:rPr>
                <w:rFonts w:ascii="Arial" w:hAnsi="Arial" w:cs="Arial"/>
                <w:sz w:val="16"/>
              </w:rPr>
              <w:t>Patients may develop drowsiness, confusion or convulsions. Balance risks &amp; benefits for treating individuals younger than 18 years of age monitor for suicidal behaviour, self-harm or hostility</w:t>
            </w:r>
          </w:p>
        </w:tc>
      </w:tr>
      <w:tr w:rsidR="007220E4" w14:paraId="3AEAD3E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DC"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Atypical Antipsychotics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DD" w14:textId="77777777" w:rsidR="007220E4" w:rsidRDefault="007220E4">
            <w:pPr>
              <w:rPr>
                <w:rFonts w:ascii="Arial" w:hAnsi="Arial" w:cs="Arial"/>
                <w:color w:val="000000"/>
                <w:sz w:val="16"/>
                <w:szCs w:val="16"/>
              </w:rPr>
            </w:pPr>
            <w:r>
              <w:rPr>
                <w:rFonts w:ascii="Arial" w:hAnsi="Arial" w:cs="Arial"/>
                <w:color w:val="000000"/>
                <w:sz w:val="16"/>
                <w:szCs w:val="16"/>
              </w:rPr>
              <w:t>FBC,UE,LFT,CPK,LIPIDS,BG, HBA1C,prolactin</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DE" w14:textId="77777777" w:rsidR="007220E4" w:rsidRDefault="007220E4">
            <w:pPr>
              <w:rPr>
                <w:rFonts w:ascii="Arial" w:hAnsi="Arial" w:cs="Arial"/>
                <w:color w:val="000000"/>
                <w:sz w:val="16"/>
                <w:szCs w:val="16"/>
              </w:rPr>
            </w:pPr>
            <w:r>
              <w:rPr>
                <w:rFonts w:ascii="Arial" w:hAnsi="Arial" w:cs="Arial"/>
                <w:color w:val="000000"/>
                <w:sz w:val="16"/>
                <w:szCs w:val="16"/>
              </w:rPr>
              <w:t>FBC,UE,LFT, CPK,LIPID,BG, HBA1C, prolactin, wt.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DF" w14:textId="77777777" w:rsidR="007220E4" w:rsidRDefault="007220E4">
            <w:pPr>
              <w:rPr>
                <w:rFonts w:ascii="Arial" w:hAnsi="Arial" w:cs="Arial"/>
                <w:color w:val="000000"/>
                <w:sz w:val="16"/>
                <w:szCs w:val="16"/>
              </w:rPr>
            </w:pPr>
            <w:r>
              <w:rPr>
                <w:rFonts w:ascii="Arial" w:hAnsi="Arial" w:cs="Arial"/>
                <w:color w:val="000000"/>
                <w:sz w:val="16"/>
                <w:szCs w:val="16"/>
              </w:rPr>
              <w:t>4m then 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E0" w14:textId="77777777" w:rsidR="007220E4" w:rsidRPr="007220E4" w:rsidRDefault="007220E4">
            <w:pPr>
              <w:rPr>
                <w:rFonts w:ascii="Arial" w:hAnsi="Arial" w:cs="Arial"/>
                <w:sz w:val="16"/>
              </w:rPr>
            </w:pPr>
            <w:r w:rsidRPr="007220E4">
              <w:rPr>
                <w:rFonts w:ascii="Arial" w:hAnsi="Arial" w:cs="Arial"/>
                <w:sz w:val="16"/>
              </w:rPr>
              <w:t>Wt.,  4 monthly then annually,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E1"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E2" w14:textId="77777777" w:rsidR="007220E4" w:rsidRPr="007220E4" w:rsidRDefault="007220E4">
            <w:pPr>
              <w:rPr>
                <w:rFonts w:ascii="Arial" w:hAnsi="Arial" w:cs="Arial"/>
                <w:sz w:val="16"/>
              </w:rPr>
            </w:pPr>
            <w:r w:rsidRPr="007220E4">
              <w:rPr>
                <w:rFonts w:ascii="Arial" w:hAnsi="Arial" w:cs="Arial"/>
                <w:sz w:val="16"/>
              </w:rPr>
              <w:t>They should be used with care if prescribed with other drugs that increase the QT interval. Should be used with caution in patients with CV disease or a history of epilepsy and with great caution in the elderly (review treatment regularly). Side effects: wt. gain, dizziness, postural hypotension, syncope, extrapyramidal symptoms (respond to dose reduction or to an antimuscarinic drug) and occasionally tardive dyskinesia on long-term administration (discontinue on appearance of early signs).</w:t>
            </w:r>
          </w:p>
        </w:tc>
      </w:tr>
      <w:tr w:rsidR="007220E4" w14:paraId="3AEAD3E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E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Azathioprine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E5" w14:textId="77777777" w:rsidR="007220E4" w:rsidRDefault="007220E4">
            <w:pPr>
              <w:rPr>
                <w:rFonts w:ascii="Arial" w:hAnsi="Arial" w:cs="Arial"/>
                <w:color w:val="000000"/>
                <w:sz w:val="16"/>
                <w:szCs w:val="16"/>
              </w:rPr>
            </w:pPr>
            <w:r>
              <w:rPr>
                <w:rFonts w:ascii="Arial" w:hAnsi="Arial" w:cs="Arial"/>
                <w:color w:val="000000"/>
                <w:sz w:val="16"/>
                <w:szCs w:val="16"/>
              </w:rPr>
              <w:t>FBC, UE, 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E6" w14:textId="77777777" w:rsidR="007220E4" w:rsidRDefault="007220E4">
            <w:pPr>
              <w:rPr>
                <w:rFonts w:ascii="Arial" w:hAnsi="Arial" w:cs="Arial"/>
                <w:color w:val="000000"/>
                <w:sz w:val="16"/>
                <w:szCs w:val="16"/>
              </w:rPr>
            </w:pPr>
            <w:r>
              <w:rPr>
                <w:rFonts w:ascii="Arial" w:hAnsi="Arial" w:cs="Arial"/>
                <w:color w:val="000000"/>
                <w:sz w:val="16"/>
                <w:szCs w:val="16"/>
              </w:rPr>
              <w:t>FBC, 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E7" w14:textId="77777777" w:rsidR="007220E4" w:rsidRDefault="007220E4">
            <w:pPr>
              <w:rPr>
                <w:rFonts w:ascii="Arial" w:hAnsi="Arial" w:cs="Arial"/>
                <w:color w:val="000000"/>
                <w:sz w:val="16"/>
                <w:szCs w:val="16"/>
              </w:rPr>
            </w:pPr>
            <w:r>
              <w:rPr>
                <w:rFonts w:ascii="Arial" w:hAnsi="Arial" w:cs="Arial"/>
                <w:color w:val="000000"/>
                <w:sz w:val="16"/>
                <w:szCs w:val="16"/>
              </w:rPr>
              <w:t>7d for 8w then 3m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E8" w14:textId="77777777" w:rsidR="007220E4" w:rsidRPr="007220E4" w:rsidRDefault="007220E4">
            <w:pPr>
              <w:rPr>
                <w:rFonts w:ascii="Arial" w:hAnsi="Arial" w:cs="Arial"/>
                <w:sz w:val="16"/>
              </w:rPr>
            </w:pPr>
            <w:r w:rsidRPr="007220E4">
              <w:rPr>
                <w:rFonts w:ascii="Arial" w:hAnsi="Arial" w:cs="Arial"/>
                <w:sz w:val="16"/>
              </w:rPr>
              <w:t xml:space="preserve">FBC weekly for 1st 8 weeks then every 1-3 months. </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E9"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EA" w14:textId="77777777" w:rsidR="007220E4" w:rsidRPr="007220E4" w:rsidRDefault="007220E4">
            <w:pPr>
              <w:rPr>
                <w:rFonts w:ascii="Arial" w:hAnsi="Arial" w:cs="Arial"/>
                <w:sz w:val="16"/>
              </w:rPr>
            </w:pPr>
            <w:r w:rsidRPr="007220E4">
              <w:rPr>
                <w:rFonts w:ascii="Arial" w:hAnsi="Arial" w:cs="Arial"/>
                <w:sz w:val="16"/>
              </w:rPr>
              <w:t>Patients should report bruising, bleeding, fever etc.</w:t>
            </w:r>
            <w:r w:rsidR="00F61F66">
              <w:rPr>
                <w:rFonts w:ascii="Arial" w:hAnsi="Arial" w:cs="Arial"/>
                <w:sz w:val="16"/>
              </w:rPr>
              <w:t xml:space="preserve"> </w:t>
            </w:r>
            <w:r w:rsidRPr="007220E4">
              <w:rPr>
                <w:rFonts w:ascii="Arial" w:hAnsi="Arial" w:cs="Arial"/>
                <w:sz w:val="16"/>
              </w:rPr>
              <w:t>LFT’s monthly until dose stable.</w:t>
            </w:r>
          </w:p>
        </w:tc>
      </w:tr>
      <w:tr w:rsidR="007220E4" w14:paraId="3AEAD3F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EC"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Carbamazepine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ED" w14:textId="77777777" w:rsidR="007220E4" w:rsidRDefault="007220E4">
            <w:pPr>
              <w:rPr>
                <w:rFonts w:ascii="Arial" w:hAnsi="Arial" w:cs="Arial"/>
                <w:color w:val="000000"/>
                <w:sz w:val="16"/>
                <w:szCs w:val="16"/>
              </w:rPr>
            </w:pPr>
            <w:r>
              <w:rPr>
                <w:rFonts w:ascii="Arial" w:hAnsi="Arial" w:cs="Arial"/>
                <w:color w:val="000000"/>
                <w:sz w:val="16"/>
                <w:szCs w:val="16"/>
              </w:rPr>
              <w:t>FBC,LFT,UE, Bone profile,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EE" w14:textId="77777777" w:rsidR="007220E4" w:rsidRDefault="007220E4">
            <w:pPr>
              <w:rPr>
                <w:rFonts w:ascii="Arial" w:hAnsi="Arial" w:cs="Arial"/>
                <w:color w:val="000000"/>
                <w:sz w:val="16"/>
                <w:szCs w:val="16"/>
              </w:rPr>
            </w:pPr>
            <w:r>
              <w:rPr>
                <w:rFonts w:ascii="Arial" w:hAnsi="Arial" w:cs="Arial"/>
                <w:color w:val="000000"/>
                <w:sz w:val="16"/>
                <w:szCs w:val="16"/>
              </w:rPr>
              <w:t>FBC,LFT,UE, Bone profile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EF" w14:textId="77777777" w:rsidR="007220E4" w:rsidRDefault="007220E4">
            <w:pPr>
              <w:rPr>
                <w:rFonts w:ascii="Arial" w:hAnsi="Arial" w:cs="Arial"/>
                <w:color w:val="000000"/>
                <w:sz w:val="16"/>
                <w:szCs w:val="16"/>
              </w:rPr>
            </w:pPr>
            <w:r>
              <w:rPr>
                <w:rFonts w:ascii="Arial" w:hAnsi="Arial" w:cs="Arial"/>
                <w:color w:val="000000"/>
                <w:sz w:val="16"/>
                <w:szCs w:val="16"/>
              </w:rPr>
              <w:t>3m then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F0" w14:textId="77777777" w:rsidR="007220E4" w:rsidRPr="007220E4" w:rsidRDefault="007220E4">
            <w:pPr>
              <w:rPr>
                <w:rFonts w:ascii="Arial" w:hAnsi="Arial" w:cs="Arial"/>
                <w:sz w:val="16"/>
              </w:rPr>
            </w:pPr>
            <w:r w:rsidRPr="007220E4">
              <w:rPr>
                <w:rFonts w:ascii="Arial" w:hAnsi="Arial" w:cs="Arial"/>
                <w:sz w:val="16"/>
              </w:rPr>
              <w:t>Tests repeated 6 monthly thereafter</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F1" w14:textId="77777777" w:rsidR="007220E4" w:rsidRPr="007220E4" w:rsidRDefault="007220E4">
            <w:pPr>
              <w:rPr>
                <w:rFonts w:ascii="Arial" w:hAnsi="Arial" w:cs="Arial"/>
                <w:sz w:val="16"/>
              </w:rPr>
            </w:pPr>
            <w:r w:rsidRPr="007220E4">
              <w:rPr>
                <w:rFonts w:ascii="Arial" w:hAnsi="Arial" w:cs="Arial"/>
                <w:sz w:val="16"/>
              </w:rPr>
              <w:t>Often</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F2" w14:textId="77777777" w:rsidR="007220E4" w:rsidRPr="007220E4" w:rsidRDefault="007220E4">
            <w:pPr>
              <w:rPr>
                <w:rFonts w:ascii="Arial" w:hAnsi="Arial" w:cs="Arial"/>
                <w:sz w:val="16"/>
              </w:rPr>
            </w:pPr>
            <w:r w:rsidRPr="007220E4">
              <w:rPr>
                <w:rFonts w:ascii="Arial" w:hAnsi="Arial" w:cs="Arial"/>
                <w:sz w:val="16"/>
              </w:rPr>
              <w:t>Check pre-dose trough level if continuing seizures or toxicity suspected or to check compliance. Counsel pts on awareness of possible blood, liver or skin disorders. Patient to report any unexplained illness* e.g. diplopia, dizziness, fever, stomatitis, sore throat</w:t>
            </w:r>
          </w:p>
        </w:tc>
      </w:tr>
      <w:tr w:rsidR="007220E4" w14:paraId="3AEAD3F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F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Carbimazole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F5" w14:textId="77777777" w:rsidR="007220E4" w:rsidRDefault="007220E4">
            <w:pPr>
              <w:rPr>
                <w:rFonts w:ascii="Arial" w:hAnsi="Arial" w:cs="Arial"/>
                <w:color w:val="000000"/>
                <w:sz w:val="16"/>
                <w:szCs w:val="16"/>
              </w:rPr>
            </w:pPr>
            <w:r>
              <w:rPr>
                <w:rFonts w:ascii="Arial" w:hAnsi="Arial" w:cs="Arial"/>
                <w:color w:val="000000"/>
                <w:sz w:val="16"/>
                <w:szCs w:val="16"/>
              </w:rPr>
              <w:t>LFT,FBC,TFT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F6" w14:textId="77777777" w:rsidR="007220E4" w:rsidRDefault="007220E4">
            <w:pPr>
              <w:rPr>
                <w:rFonts w:ascii="Arial" w:hAnsi="Arial" w:cs="Arial"/>
                <w:color w:val="000000"/>
                <w:sz w:val="16"/>
                <w:szCs w:val="16"/>
              </w:rPr>
            </w:pPr>
            <w:r>
              <w:rPr>
                <w:rFonts w:ascii="Arial" w:hAnsi="Arial" w:cs="Arial"/>
                <w:color w:val="000000"/>
                <w:sz w:val="16"/>
                <w:szCs w:val="16"/>
              </w:rPr>
              <w:t>LFT, FBC, TFT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F7" w14:textId="77777777" w:rsidR="007220E4" w:rsidRDefault="007220E4">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3F8" w14:textId="77777777" w:rsidR="007220E4" w:rsidRPr="007220E4" w:rsidRDefault="007220E4">
            <w:pPr>
              <w:rPr>
                <w:rFonts w:ascii="Arial" w:hAnsi="Arial" w:cs="Arial"/>
                <w:sz w:val="16"/>
              </w:rPr>
            </w:pPr>
            <w:r w:rsidRPr="007220E4">
              <w:rPr>
                <w:rFonts w:ascii="Arial" w:hAnsi="Arial" w:cs="Arial"/>
                <w:sz w:val="16"/>
              </w:rPr>
              <w:t>LFT’s during 1st 6 months.</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3F9"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3FA" w14:textId="77777777" w:rsidR="007220E4" w:rsidRPr="007220E4" w:rsidRDefault="007220E4">
            <w:pPr>
              <w:rPr>
                <w:rFonts w:ascii="Arial" w:hAnsi="Arial" w:cs="Arial"/>
                <w:sz w:val="16"/>
              </w:rPr>
            </w:pPr>
            <w:r w:rsidRPr="007220E4">
              <w:rPr>
                <w:rFonts w:ascii="Arial" w:hAnsi="Arial" w:cs="Arial"/>
                <w:sz w:val="16"/>
              </w:rPr>
              <w:t>Patients should report symptoms of sore throat, mouth ulcers, bruising, bleeding, fever, etc. Patients to report signs of jaundice.</w:t>
            </w:r>
          </w:p>
        </w:tc>
      </w:tr>
      <w:tr w:rsidR="007220E4" w14:paraId="3AEAD40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3FC"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Chlorpromazine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3FD" w14:textId="77777777" w:rsidR="007220E4" w:rsidRDefault="007220E4">
            <w:pPr>
              <w:rPr>
                <w:rFonts w:ascii="Arial" w:hAnsi="Arial" w:cs="Arial"/>
                <w:color w:val="000000"/>
                <w:sz w:val="16"/>
                <w:szCs w:val="16"/>
              </w:rPr>
            </w:pPr>
            <w:r>
              <w:rPr>
                <w:rFonts w:ascii="Arial" w:hAnsi="Arial" w:cs="Arial"/>
                <w:color w:val="000000"/>
                <w:sz w:val="16"/>
                <w:szCs w:val="16"/>
              </w:rPr>
              <w:t>FBC</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3FE" w14:textId="77777777" w:rsidR="007220E4" w:rsidRDefault="007220E4">
            <w:pPr>
              <w:rPr>
                <w:rFonts w:ascii="Arial" w:hAnsi="Arial" w:cs="Arial"/>
                <w:color w:val="000000"/>
                <w:sz w:val="16"/>
                <w:szCs w:val="16"/>
              </w:rPr>
            </w:pPr>
            <w:r>
              <w:rPr>
                <w:rFonts w:ascii="Arial" w:hAnsi="Arial" w:cs="Arial"/>
                <w:color w:val="000000"/>
                <w:sz w:val="16"/>
                <w:szCs w:val="16"/>
              </w:rPr>
              <w:t>FBC</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3FF" w14:textId="77777777" w:rsidR="007220E4" w:rsidRDefault="007220E4">
            <w:pPr>
              <w:rPr>
                <w:rFonts w:ascii="Arial" w:hAnsi="Arial" w:cs="Arial"/>
                <w:color w:val="000000"/>
                <w:sz w:val="16"/>
                <w:szCs w:val="16"/>
              </w:rPr>
            </w:pPr>
            <w:r>
              <w:rPr>
                <w:rFonts w:ascii="Arial" w:hAnsi="Arial" w:cs="Arial"/>
                <w:color w:val="000000"/>
                <w:sz w:val="16"/>
                <w:szCs w:val="16"/>
              </w:rPr>
              <w:t>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00" w14:textId="77777777" w:rsidR="007220E4" w:rsidRPr="007220E4" w:rsidRDefault="007220E4">
            <w:pPr>
              <w:rPr>
                <w:rFonts w:ascii="Arial" w:hAnsi="Arial" w:cs="Arial"/>
                <w:sz w:val="16"/>
              </w:rPr>
            </w:pPr>
            <w:r w:rsidRPr="007220E4">
              <w:rPr>
                <w:rFonts w:ascii="Arial" w:hAnsi="Arial" w:cs="Arial"/>
                <w:sz w:val="16"/>
              </w:rPr>
              <w:t>If unexplained infection or fever.</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01"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02" w14:textId="77777777" w:rsidR="007220E4" w:rsidRPr="007220E4" w:rsidRDefault="007220E4">
            <w:pPr>
              <w:rPr>
                <w:rFonts w:ascii="Arial" w:hAnsi="Arial" w:cs="Arial"/>
                <w:sz w:val="16"/>
              </w:rPr>
            </w:pPr>
            <w:r w:rsidRPr="007220E4">
              <w:rPr>
                <w:rFonts w:ascii="Arial" w:hAnsi="Arial" w:cs="Arial"/>
                <w:sz w:val="16"/>
              </w:rPr>
              <w:t> </w:t>
            </w:r>
          </w:p>
        </w:tc>
      </w:tr>
      <w:tr w:rsidR="007220E4" w14:paraId="3AEAD40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0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Ciclosporin</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05" w14:textId="77777777" w:rsidR="007220E4" w:rsidRDefault="007220E4">
            <w:pPr>
              <w:rPr>
                <w:rFonts w:ascii="Arial" w:hAnsi="Arial" w:cs="Arial"/>
                <w:color w:val="000000"/>
                <w:sz w:val="16"/>
                <w:szCs w:val="16"/>
              </w:rPr>
            </w:pPr>
            <w:r>
              <w:rPr>
                <w:rFonts w:ascii="Arial" w:hAnsi="Arial" w:cs="Arial"/>
                <w:color w:val="000000"/>
                <w:sz w:val="16"/>
                <w:szCs w:val="16"/>
              </w:rPr>
              <w:t>FBC,UE, LFT, LIPIDS</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06" w14:textId="77777777" w:rsidR="007220E4" w:rsidRDefault="007220E4">
            <w:pPr>
              <w:rPr>
                <w:rFonts w:ascii="Arial" w:hAnsi="Arial" w:cs="Arial"/>
                <w:color w:val="000000"/>
                <w:sz w:val="16"/>
                <w:szCs w:val="16"/>
              </w:rPr>
            </w:pPr>
            <w:r>
              <w:rPr>
                <w:rFonts w:ascii="Arial" w:hAnsi="Arial" w:cs="Arial"/>
                <w:color w:val="000000"/>
                <w:sz w:val="16"/>
                <w:szCs w:val="16"/>
              </w:rPr>
              <w:t>FBC,UE, LFT, LIPIDS</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07" w14:textId="77777777" w:rsidR="007220E4" w:rsidRDefault="007220E4">
            <w:pPr>
              <w:rPr>
                <w:rFonts w:ascii="Arial" w:hAnsi="Arial" w:cs="Arial"/>
                <w:color w:val="000000"/>
                <w:sz w:val="16"/>
                <w:szCs w:val="16"/>
              </w:rPr>
            </w:pPr>
            <w:r>
              <w:rPr>
                <w:rFonts w:ascii="Arial" w:hAnsi="Arial" w:cs="Arial"/>
                <w:color w:val="000000"/>
                <w:sz w:val="16"/>
                <w:szCs w:val="16"/>
              </w:rPr>
              <w:t>14d for 12w then 1m for 3m then 3m. LIPIDS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08" w14:textId="77777777" w:rsidR="007220E4" w:rsidRPr="007220E4" w:rsidRDefault="007220E4">
            <w:pPr>
              <w:rPr>
                <w:rFonts w:ascii="Arial" w:hAnsi="Arial" w:cs="Arial"/>
                <w:sz w:val="16"/>
              </w:rPr>
            </w:pPr>
            <w:r w:rsidRPr="007220E4">
              <w:rPr>
                <w:rFonts w:ascii="Arial" w:hAnsi="Arial" w:cs="Arial"/>
                <w:sz w:val="16"/>
              </w:rPr>
              <w:t xml:space="preserve">UE, BP 2 weekly until </w:t>
            </w:r>
            <w:r w:rsidR="005F0F41" w:rsidRPr="007220E4">
              <w:rPr>
                <w:rFonts w:ascii="Arial" w:hAnsi="Arial" w:cs="Arial"/>
                <w:sz w:val="16"/>
              </w:rPr>
              <w:t>dose stable</w:t>
            </w:r>
            <w:r w:rsidRPr="007220E4">
              <w:rPr>
                <w:rFonts w:ascii="Arial" w:hAnsi="Arial" w:cs="Arial"/>
                <w:sz w:val="16"/>
              </w:rPr>
              <w:t xml:space="preserve"> for 3 months. (2 weekly again if dose is changed) then monthly. FBC and LFT’s monthly until dose stable for 3 months and then 3 monthly. Blood Lipids 6 monthly.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09" w14:textId="77777777" w:rsidR="007220E4" w:rsidRPr="007220E4" w:rsidRDefault="007220E4">
            <w:pPr>
              <w:rPr>
                <w:rFonts w:ascii="Arial" w:hAnsi="Arial" w:cs="Arial"/>
                <w:sz w:val="16"/>
              </w:rPr>
            </w:pPr>
            <w:r w:rsidRPr="007220E4">
              <w:rPr>
                <w:rFonts w:ascii="Arial" w:hAnsi="Arial" w:cs="Arial"/>
                <w:sz w:val="16"/>
              </w:rPr>
              <w:t>Trough varies with indication</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0A" w14:textId="77777777" w:rsidR="007220E4" w:rsidRPr="007220E4" w:rsidRDefault="007220E4" w:rsidP="00F61F66">
            <w:pPr>
              <w:rPr>
                <w:rFonts w:ascii="Arial" w:hAnsi="Arial" w:cs="Arial"/>
                <w:sz w:val="16"/>
              </w:rPr>
            </w:pPr>
            <w:r w:rsidRPr="007220E4">
              <w:rPr>
                <w:rFonts w:ascii="Arial" w:hAnsi="Arial" w:cs="Arial"/>
                <w:sz w:val="16"/>
              </w:rPr>
              <w:t>Check trough level if adding or stopping drug known to affect ciclosporin levels.  Avoid high dietary potassium.  Prescribe and dispense by brand name.</w:t>
            </w:r>
          </w:p>
        </w:tc>
      </w:tr>
      <w:tr w:rsidR="007220E4" w14:paraId="3AEAD41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0C"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Cyproterone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0D" w14:textId="77777777" w:rsidR="007220E4" w:rsidRDefault="007220E4">
            <w:pPr>
              <w:rPr>
                <w:rFonts w:ascii="Arial" w:hAnsi="Arial" w:cs="Arial"/>
                <w:color w:val="000000"/>
                <w:sz w:val="16"/>
                <w:szCs w:val="16"/>
              </w:rPr>
            </w:pPr>
            <w:r>
              <w:rPr>
                <w:rFonts w:ascii="Arial" w:hAnsi="Arial" w:cs="Arial"/>
                <w:color w:val="000000"/>
                <w:sz w:val="16"/>
                <w:szCs w:val="16"/>
              </w:rPr>
              <w:t>FBC, 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0E" w14:textId="77777777" w:rsidR="007220E4" w:rsidRDefault="007220E4">
            <w:pPr>
              <w:rPr>
                <w:rFonts w:ascii="Arial" w:hAnsi="Arial" w:cs="Arial"/>
                <w:color w:val="000000"/>
                <w:sz w:val="16"/>
                <w:szCs w:val="16"/>
              </w:rPr>
            </w:pPr>
            <w:r>
              <w:rPr>
                <w:rFonts w:ascii="Arial" w:hAnsi="Arial" w:cs="Arial"/>
                <w:color w:val="000000"/>
                <w:sz w:val="16"/>
                <w:szCs w:val="16"/>
              </w:rPr>
              <w:t>FBC, 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0F" w14:textId="77777777" w:rsidR="007220E4" w:rsidRDefault="007220E4">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10" w14:textId="77777777" w:rsidR="007220E4" w:rsidRPr="007220E4" w:rsidRDefault="007220E4">
            <w:pPr>
              <w:rPr>
                <w:rFonts w:ascii="Arial" w:hAnsi="Arial" w:cs="Arial"/>
                <w:sz w:val="16"/>
              </w:rPr>
            </w:pPr>
            <w:r w:rsidRPr="007220E4">
              <w:rPr>
                <w:rFonts w:ascii="Arial" w:hAnsi="Arial" w:cs="Arial"/>
                <w:sz w:val="16"/>
              </w:rPr>
              <w:t>FBC 6 monthly.  LFT’s if signs/ symptoms develop.</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11"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12" w14:textId="77777777" w:rsidR="007220E4" w:rsidRPr="007220E4" w:rsidRDefault="007220E4">
            <w:pPr>
              <w:rPr>
                <w:rFonts w:ascii="Arial" w:hAnsi="Arial" w:cs="Arial"/>
                <w:sz w:val="16"/>
              </w:rPr>
            </w:pPr>
            <w:r w:rsidRPr="007220E4">
              <w:rPr>
                <w:rFonts w:ascii="Arial" w:hAnsi="Arial" w:cs="Arial"/>
                <w:sz w:val="16"/>
              </w:rPr>
              <w:t>Patients should report possible signs of hepatotoxicity.</w:t>
            </w:r>
          </w:p>
        </w:tc>
      </w:tr>
      <w:tr w:rsidR="007220E4" w14:paraId="3AEAD41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1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Dementia drugs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15" w14:textId="77777777" w:rsidR="007220E4" w:rsidRDefault="007220E4">
            <w:pPr>
              <w:rPr>
                <w:rFonts w:ascii="Arial" w:hAnsi="Arial" w:cs="Arial"/>
                <w:color w:val="000000"/>
                <w:sz w:val="16"/>
                <w:szCs w:val="16"/>
              </w:rPr>
            </w:pPr>
            <w:r>
              <w:rPr>
                <w:rFonts w:ascii="Arial" w:hAnsi="Arial" w:cs="Arial"/>
                <w:color w:val="000000"/>
                <w:sz w:val="16"/>
                <w:szCs w:val="16"/>
              </w:rPr>
              <w:t>FBC,UE, B12 + Folate,  BG, TFT, LFT, ECG</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16" w14:textId="77777777" w:rsidR="007220E4" w:rsidRDefault="007220E4">
            <w:pPr>
              <w:rPr>
                <w:rFonts w:ascii="Arial" w:hAnsi="Arial" w:cs="Arial"/>
                <w:color w:val="000000"/>
                <w:sz w:val="16"/>
                <w:szCs w:val="16"/>
              </w:rPr>
            </w:pPr>
            <w:r>
              <w:rPr>
                <w:rFonts w:ascii="Arial" w:hAnsi="Arial" w:cs="Arial"/>
                <w:color w:val="000000"/>
                <w:sz w:val="16"/>
                <w:szCs w:val="16"/>
              </w:rPr>
              <w:t>FBC,UE,TFT,LFT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17" w14:textId="77777777" w:rsidR="007220E4" w:rsidRDefault="007220E4">
            <w:pPr>
              <w:rPr>
                <w:rFonts w:ascii="Arial" w:hAnsi="Arial" w:cs="Arial"/>
                <w:color w:val="000000"/>
                <w:sz w:val="16"/>
                <w:szCs w:val="16"/>
              </w:rPr>
            </w:pPr>
            <w:r>
              <w:rPr>
                <w:rFonts w:ascii="Arial" w:hAnsi="Arial" w:cs="Arial"/>
                <w:color w:val="000000"/>
                <w:sz w:val="16"/>
                <w:szCs w:val="16"/>
              </w:rPr>
              <w:t xml:space="preserve">6m </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18" w14:textId="77777777" w:rsidR="007220E4" w:rsidRPr="007220E4" w:rsidRDefault="007220E4">
            <w:pPr>
              <w:rPr>
                <w:rFonts w:ascii="Arial" w:hAnsi="Arial" w:cs="Arial"/>
                <w:sz w:val="16"/>
              </w:rPr>
            </w:pPr>
            <w:r w:rsidRPr="007220E4">
              <w:rPr>
                <w:rFonts w:ascii="Arial" w:hAnsi="Arial" w:cs="Arial"/>
                <w:sz w:val="16"/>
              </w:rPr>
              <w:t xml:space="preserve">Assess 6-12 months. (Specialist input necessary) </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19"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1A" w14:textId="77777777" w:rsidR="007220E4" w:rsidRPr="007220E4" w:rsidRDefault="007220E4">
            <w:pPr>
              <w:rPr>
                <w:rFonts w:ascii="Arial" w:hAnsi="Arial" w:cs="Arial"/>
                <w:sz w:val="16"/>
              </w:rPr>
            </w:pPr>
            <w:r w:rsidRPr="007220E4">
              <w:rPr>
                <w:rFonts w:ascii="Arial" w:hAnsi="Arial" w:cs="Arial"/>
                <w:sz w:val="16"/>
              </w:rPr>
              <w:t>*See NICE TA 217 (Alzheimer’s disease)</w:t>
            </w:r>
          </w:p>
        </w:tc>
      </w:tr>
      <w:tr w:rsidR="007220E4" w14:paraId="3AEAD423" w14:textId="77777777" w:rsidTr="002772F3">
        <w:trPr>
          <w:trHeight w:val="1332"/>
        </w:trPr>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1C"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lastRenderedPageBreak/>
              <w:t>Digoxin</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1D" w14:textId="77777777" w:rsidR="007220E4" w:rsidRDefault="007220E4">
            <w:pPr>
              <w:rPr>
                <w:rFonts w:ascii="Arial" w:hAnsi="Arial" w:cs="Arial"/>
                <w:color w:val="000000"/>
                <w:sz w:val="16"/>
                <w:szCs w:val="16"/>
              </w:rPr>
            </w:pPr>
            <w:r>
              <w:rPr>
                <w:rFonts w:ascii="Arial" w:hAnsi="Arial" w:cs="Arial"/>
                <w:color w:val="000000"/>
                <w:sz w:val="16"/>
                <w:szCs w:val="16"/>
              </w:rPr>
              <w:t>UE,TFT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1E" w14:textId="77777777" w:rsidR="007220E4" w:rsidRDefault="007220E4">
            <w:pPr>
              <w:rPr>
                <w:rFonts w:ascii="Arial" w:hAnsi="Arial" w:cs="Arial"/>
                <w:color w:val="000000"/>
                <w:sz w:val="16"/>
                <w:szCs w:val="16"/>
              </w:rPr>
            </w:pPr>
            <w:r>
              <w:rPr>
                <w:rFonts w:ascii="Arial" w:hAnsi="Arial" w:cs="Arial"/>
                <w:color w:val="000000"/>
                <w:sz w:val="16"/>
                <w:szCs w:val="16"/>
              </w:rPr>
              <w:t xml:space="preserve">UE, </w:t>
            </w:r>
            <w:r w:rsidR="00D26728">
              <w:rPr>
                <w:rFonts w:ascii="Arial" w:hAnsi="Arial" w:cs="Arial"/>
                <w:color w:val="000000"/>
                <w:sz w:val="16"/>
                <w:szCs w:val="16"/>
              </w:rPr>
              <w:t>Digoxin</w:t>
            </w:r>
            <w:r>
              <w:rPr>
                <w:rFonts w:ascii="Arial" w:hAnsi="Arial" w:cs="Arial"/>
                <w:color w:val="000000"/>
                <w:sz w:val="16"/>
                <w:szCs w:val="16"/>
              </w:rPr>
              <w:t xml:space="preserve"> level</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1F" w14:textId="77777777" w:rsidR="007220E4" w:rsidRDefault="007220E4">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20" w14:textId="77777777" w:rsidR="007220E4" w:rsidRPr="007220E4" w:rsidRDefault="007220E4">
            <w:pPr>
              <w:rPr>
                <w:rFonts w:ascii="Arial" w:hAnsi="Arial" w:cs="Arial"/>
                <w:sz w:val="16"/>
              </w:rPr>
            </w:pPr>
            <w:r w:rsidRPr="007220E4">
              <w:rPr>
                <w:rFonts w:ascii="Arial" w:hAnsi="Arial" w:cs="Arial"/>
                <w:sz w:val="16"/>
              </w:rPr>
              <w:t>UE 6 monthly if stable. Digoxin level Periodically, e.g. at annual review. Maintain K+ at 4-5 mmol/L ideally (caution with diuretics and ACE-inhibitors). Pre-existing or suspected thyroid disease- myocardial sensitivity to digoxin may be altered.</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21" w14:textId="77777777" w:rsidR="007220E4" w:rsidRPr="007220E4" w:rsidRDefault="007220E4">
            <w:pPr>
              <w:rPr>
                <w:rFonts w:ascii="Arial" w:hAnsi="Arial" w:cs="Arial"/>
                <w:sz w:val="16"/>
              </w:rPr>
            </w:pPr>
            <w:r w:rsidRPr="007220E4">
              <w:rPr>
                <w:rFonts w:ascii="Arial" w:hAnsi="Arial" w:cs="Arial"/>
                <w:sz w:val="16"/>
              </w:rPr>
              <w:t>Not routine</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22" w14:textId="77777777" w:rsidR="007220E4" w:rsidRPr="007220E4" w:rsidRDefault="007220E4">
            <w:pPr>
              <w:rPr>
                <w:rFonts w:ascii="Arial" w:hAnsi="Arial" w:cs="Arial"/>
                <w:sz w:val="16"/>
              </w:rPr>
            </w:pPr>
            <w:r w:rsidRPr="007220E4">
              <w:rPr>
                <w:rFonts w:ascii="Arial" w:hAnsi="Arial" w:cs="Arial"/>
                <w:sz w:val="16"/>
              </w:rPr>
              <w:t xml:space="preserve">Stop drug if toxicity suspected. Consider digoxin levels in certain circumstances, e.g. uncontrolled rate, if toxicity suspected, to check compliance, in heart failure with sinus rhythm, if renal function changing, etc.  Measure level at least 6 hrs post dose. </w:t>
            </w:r>
          </w:p>
        </w:tc>
      </w:tr>
      <w:tr w:rsidR="007220E4" w14:paraId="3AEAD42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24" w14:textId="77777777" w:rsidR="007220E4" w:rsidRPr="007220E4" w:rsidRDefault="007220E4" w:rsidP="00D26728">
            <w:pPr>
              <w:jc w:val="center"/>
              <w:rPr>
                <w:rFonts w:ascii="Arial" w:hAnsi="Arial" w:cs="Arial"/>
                <w:b/>
                <w:bCs/>
                <w:color w:val="000000"/>
                <w:sz w:val="16"/>
              </w:rPr>
            </w:pPr>
            <w:r w:rsidRPr="007220E4">
              <w:rPr>
                <w:rFonts w:ascii="Arial" w:hAnsi="Arial" w:cs="Arial"/>
                <w:b/>
                <w:bCs/>
                <w:color w:val="000000"/>
                <w:sz w:val="16"/>
              </w:rPr>
              <w:t>Diuretics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25" w14:textId="77777777" w:rsidR="007220E4" w:rsidRDefault="007220E4">
            <w:pPr>
              <w:rPr>
                <w:rFonts w:ascii="Arial" w:hAnsi="Arial" w:cs="Arial"/>
                <w:color w:val="000000"/>
                <w:sz w:val="16"/>
                <w:szCs w:val="16"/>
              </w:rPr>
            </w:pPr>
            <w:r>
              <w:rPr>
                <w:rFonts w:ascii="Arial" w:hAnsi="Arial" w:cs="Arial"/>
                <w:color w:val="000000"/>
                <w:sz w:val="16"/>
                <w:szCs w:val="16"/>
              </w:rPr>
              <w:t>UE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26" w14:textId="77777777" w:rsidR="007220E4" w:rsidRDefault="007220E4">
            <w:pPr>
              <w:rPr>
                <w:rFonts w:ascii="Arial" w:hAnsi="Arial" w:cs="Arial"/>
                <w:color w:val="000000"/>
                <w:sz w:val="16"/>
                <w:szCs w:val="16"/>
              </w:rPr>
            </w:pPr>
            <w:r>
              <w:rPr>
                <w:rFonts w:ascii="Arial" w:hAnsi="Arial" w:cs="Arial"/>
                <w:color w:val="000000"/>
                <w:sz w:val="16"/>
                <w:szCs w:val="16"/>
              </w:rPr>
              <w:t>UE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27" w14:textId="77777777" w:rsidR="007220E4" w:rsidRDefault="007220E4">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28" w14:textId="77777777" w:rsidR="007220E4" w:rsidRPr="007220E4" w:rsidRDefault="007220E4">
            <w:pPr>
              <w:rPr>
                <w:rFonts w:ascii="Arial" w:hAnsi="Arial" w:cs="Arial"/>
                <w:sz w:val="16"/>
              </w:rPr>
            </w:pPr>
            <w:r w:rsidRPr="007220E4">
              <w:rPr>
                <w:rFonts w:ascii="Arial" w:hAnsi="Arial" w:cs="Arial"/>
                <w:sz w:val="16"/>
              </w:rPr>
              <w:t>Periodically, e.g. at annual review or more often if clinically unstable or dose changing.</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29" w14:textId="77777777" w:rsidR="007220E4" w:rsidRPr="007220E4" w:rsidRDefault="007220E4">
            <w:pPr>
              <w:rPr>
                <w:rFonts w:ascii="Arial" w:hAnsi="Arial" w:cs="Arial"/>
                <w:sz w:val="16"/>
              </w:rPr>
            </w:pPr>
            <w:r w:rsidRPr="007220E4">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2A" w14:textId="77777777" w:rsidR="007220E4" w:rsidRPr="007220E4" w:rsidRDefault="007220E4">
            <w:pPr>
              <w:rPr>
                <w:rFonts w:ascii="Arial" w:hAnsi="Arial" w:cs="Arial"/>
                <w:sz w:val="16"/>
              </w:rPr>
            </w:pPr>
            <w:r w:rsidRPr="007220E4">
              <w:rPr>
                <w:rFonts w:ascii="Arial" w:hAnsi="Arial" w:cs="Arial"/>
                <w:sz w:val="16"/>
              </w:rPr>
              <w:t>Metolazone - more frequent monitoring. Thiazides - urinalysis for glucose before Tx and annually.</w:t>
            </w:r>
          </w:p>
        </w:tc>
      </w:tr>
      <w:tr w:rsidR="008039AC" w14:paraId="3AEAD43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2C" w14:textId="77777777" w:rsidR="008039AC" w:rsidRPr="008039AC" w:rsidRDefault="008039AC" w:rsidP="00D26728">
            <w:pPr>
              <w:jc w:val="center"/>
              <w:rPr>
                <w:rFonts w:ascii="Arial" w:hAnsi="Arial" w:cs="Arial"/>
                <w:b/>
                <w:bCs/>
                <w:color w:val="000000"/>
                <w:sz w:val="16"/>
              </w:rPr>
            </w:pPr>
            <w:r w:rsidRPr="008039AC">
              <w:rPr>
                <w:rFonts w:ascii="Arial" w:hAnsi="Arial" w:cs="Arial"/>
                <w:b/>
                <w:bCs/>
                <w:color w:val="000000"/>
                <w:sz w:val="16"/>
              </w:rPr>
              <w:t>Glitazones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2D" w14:textId="77777777" w:rsidR="008039AC" w:rsidRDefault="008039AC">
            <w:pPr>
              <w:rPr>
                <w:rFonts w:ascii="Arial" w:hAnsi="Arial" w:cs="Arial"/>
                <w:color w:val="000000"/>
                <w:sz w:val="16"/>
                <w:szCs w:val="16"/>
              </w:rPr>
            </w:pPr>
            <w:r>
              <w:rPr>
                <w:rFonts w:ascii="Arial" w:hAnsi="Arial" w:cs="Arial"/>
                <w:color w:val="000000"/>
                <w:sz w:val="16"/>
                <w:szCs w:val="16"/>
              </w:rPr>
              <w:t>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2E" w14:textId="77777777" w:rsidR="008039AC" w:rsidRDefault="008039AC" w:rsidP="008039AC">
            <w:pPr>
              <w:rPr>
                <w:rFonts w:ascii="Arial" w:hAnsi="Arial" w:cs="Arial"/>
                <w:color w:val="000000"/>
                <w:sz w:val="16"/>
                <w:szCs w:val="16"/>
              </w:rPr>
            </w:pPr>
            <w:r>
              <w:rPr>
                <w:rFonts w:ascii="Arial" w:hAnsi="Arial" w:cs="Arial"/>
                <w:color w:val="000000"/>
                <w:sz w:val="16"/>
                <w:szCs w:val="16"/>
              </w:rPr>
              <w:t>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2F" w14:textId="77777777" w:rsidR="008039AC" w:rsidRDefault="008039AC">
            <w:pPr>
              <w:rPr>
                <w:rFonts w:ascii="Arial" w:hAnsi="Arial" w:cs="Arial"/>
                <w:color w:val="000000"/>
                <w:sz w:val="16"/>
                <w:szCs w:val="16"/>
              </w:rPr>
            </w:pPr>
            <w:r>
              <w:rPr>
                <w:rFonts w:ascii="Arial" w:hAnsi="Arial" w:cs="Arial"/>
                <w:color w:val="000000"/>
                <w:sz w:val="16"/>
                <w:szCs w:val="16"/>
              </w:rPr>
              <w:t>2m then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30" w14:textId="77777777" w:rsidR="008039AC" w:rsidRPr="008039AC" w:rsidRDefault="008039AC">
            <w:pPr>
              <w:rPr>
                <w:rFonts w:ascii="Arial" w:hAnsi="Arial" w:cs="Arial"/>
                <w:sz w:val="16"/>
              </w:rPr>
            </w:pPr>
            <w:r w:rsidRPr="008039AC">
              <w:rPr>
                <w:rFonts w:ascii="Arial" w:hAnsi="Arial" w:cs="Arial"/>
                <w:sz w:val="16"/>
              </w:rPr>
              <w:t>2 months then 6 monthly at higher clinical risk.</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31" w14:textId="77777777" w:rsidR="008039AC" w:rsidRPr="008039AC" w:rsidRDefault="008039AC">
            <w:pPr>
              <w:rPr>
                <w:rFonts w:ascii="Arial" w:hAnsi="Arial" w:cs="Arial"/>
                <w:sz w:val="16"/>
              </w:rPr>
            </w:pPr>
            <w:r w:rsidRPr="008039AC">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32" w14:textId="77777777" w:rsidR="008039AC" w:rsidRPr="008039AC" w:rsidRDefault="008039AC">
            <w:pPr>
              <w:rPr>
                <w:rFonts w:ascii="Arial" w:hAnsi="Arial" w:cs="Arial"/>
                <w:sz w:val="16"/>
              </w:rPr>
            </w:pPr>
            <w:r w:rsidRPr="008039AC">
              <w:rPr>
                <w:rFonts w:ascii="Arial" w:hAnsi="Arial" w:cs="Arial"/>
                <w:sz w:val="16"/>
              </w:rPr>
              <w:t>Avoid in heart failure. Patients to report signs of jaundice and fluid retention.</w:t>
            </w:r>
          </w:p>
        </w:tc>
      </w:tr>
      <w:tr w:rsidR="008039AC" w14:paraId="3AEAD43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34" w14:textId="77777777" w:rsidR="008039AC" w:rsidRPr="008039AC" w:rsidRDefault="008039AC" w:rsidP="00D26728">
            <w:pPr>
              <w:jc w:val="center"/>
              <w:rPr>
                <w:rFonts w:ascii="Arial" w:hAnsi="Arial" w:cs="Arial"/>
                <w:b/>
                <w:bCs/>
                <w:color w:val="000000"/>
                <w:sz w:val="16"/>
              </w:rPr>
            </w:pPr>
            <w:r w:rsidRPr="008039AC">
              <w:rPr>
                <w:rFonts w:ascii="Arial" w:hAnsi="Arial" w:cs="Arial"/>
                <w:b/>
                <w:bCs/>
                <w:color w:val="000000"/>
                <w:sz w:val="16"/>
              </w:rPr>
              <w:t>Hydroxychloroquine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35" w14:textId="77777777" w:rsidR="008039AC" w:rsidRDefault="008039AC">
            <w:pPr>
              <w:rPr>
                <w:rFonts w:ascii="Arial" w:hAnsi="Arial" w:cs="Arial"/>
                <w:color w:val="000000"/>
                <w:sz w:val="16"/>
                <w:szCs w:val="16"/>
              </w:rPr>
            </w:pPr>
            <w:r>
              <w:rPr>
                <w:rFonts w:ascii="Arial" w:hAnsi="Arial" w:cs="Arial"/>
                <w:color w:val="000000"/>
                <w:sz w:val="16"/>
                <w:szCs w:val="16"/>
              </w:rPr>
              <w:t>UE, LFT, FBC  &amp; Eye Test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36" w14:textId="77777777" w:rsidR="008039AC" w:rsidRDefault="008039AC">
            <w:pPr>
              <w:rPr>
                <w:rFonts w:ascii="Arial" w:hAnsi="Arial" w:cs="Arial"/>
                <w:color w:val="000000"/>
                <w:sz w:val="16"/>
                <w:szCs w:val="16"/>
              </w:rPr>
            </w:pPr>
            <w:r>
              <w:rPr>
                <w:rFonts w:ascii="Arial" w:hAnsi="Arial" w:cs="Arial"/>
                <w:color w:val="000000"/>
                <w:sz w:val="16"/>
                <w:szCs w:val="16"/>
              </w:rPr>
              <w:t>FBC, ESR, UE, 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37" w14:textId="77777777" w:rsidR="008039AC" w:rsidRDefault="008039AC">
            <w:pPr>
              <w:rPr>
                <w:rFonts w:ascii="Arial" w:hAnsi="Arial" w:cs="Arial"/>
                <w:color w:val="000000"/>
                <w:sz w:val="16"/>
                <w:szCs w:val="16"/>
              </w:rPr>
            </w:pPr>
            <w:r>
              <w:rPr>
                <w:rFonts w:ascii="Arial" w:hAnsi="Arial" w:cs="Arial"/>
                <w:color w:val="000000"/>
                <w:sz w:val="16"/>
                <w:szCs w:val="16"/>
              </w:rPr>
              <w:t>6m. Eye check 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38" w14:textId="77777777" w:rsidR="008039AC" w:rsidRPr="008039AC" w:rsidRDefault="008039AC">
            <w:pPr>
              <w:rPr>
                <w:rFonts w:ascii="Arial" w:hAnsi="Arial" w:cs="Arial"/>
                <w:sz w:val="16"/>
              </w:rPr>
            </w:pPr>
            <w:r w:rsidRPr="008039AC">
              <w:rPr>
                <w:rFonts w:ascii="Arial" w:hAnsi="Arial" w:cs="Arial"/>
                <w:sz w:val="16"/>
              </w:rPr>
              <w:t>Every 6 months. Eye examinations must be repeated at least every 12 months.</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39" w14:textId="77777777" w:rsidR="008039AC" w:rsidRPr="008039AC" w:rsidRDefault="008039AC">
            <w:pPr>
              <w:rPr>
                <w:rFonts w:ascii="Arial" w:hAnsi="Arial" w:cs="Arial"/>
                <w:sz w:val="16"/>
              </w:rPr>
            </w:pPr>
            <w:r w:rsidRPr="008039AC">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3A" w14:textId="77777777" w:rsidR="008039AC" w:rsidRPr="008039AC" w:rsidRDefault="008039AC">
            <w:pPr>
              <w:rPr>
                <w:rFonts w:ascii="Arial" w:hAnsi="Arial" w:cs="Arial"/>
                <w:sz w:val="16"/>
              </w:rPr>
            </w:pPr>
            <w:r w:rsidRPr="008039AC">
              <w:rPr>
                <w:rFonts w:ascii="Arial" w:hAnsi="Arial" w:cs="Arial"/>
                <w:sz w:val="16"/>
              </w:rPr>
              <w:t xml:space="preserve">Patients should report visual changes. Enquire about other side effects as for  </w:t>
            </w:r>
            <w:r w:rsidR="00F61F66" w:rsidRPr="008039AC">
              <w:rPr>
                <w:rFonts w:ascii="Arial" w:hAnsi="Arial" w:cs="Arial"/>
                <w:sz w:val="16"/>
              </w:rPr>
              <w:t>Penicillamine</w:t>
            </w:r>
          </w:p>
        </w:tc>
      </w:tr>
      <w:tr w:rsidR="008039AC" w14:paraId="3AEAD44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3C" w14:textId="77777777" w:rsidR="008039AC" w:rsidRPr="008039AC" w:rsidRDefault="008039AC" w:rsidP="00D26728">
            <w:pPr>
              <w:jc w:val="center"/>
              <w:rPr>
                <w:rFonts w:ascii="Arial" w:hAnsi="Arial" w:cs="Arial"/>
                <w:b/>
                <w:bCs/>
                <w:color w:val="000000"/>
                <w:sz w:val="16"/>
              </w:rPr>
            </w:pPr>
            <w:r w:rsidRPr="008039AC">
              <w:rPr>
                <w:rFonts w:ascii="Arial" w:hAnsi="Arial" w:cs="Arial"/>
                <w:b/>
                <w:bCs/>
                <w:color w:val="000000"/>
                <w:sz w:val="16"/>
              </w:rPr>
              <w:t>Leflunomide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3D" w14:textId="77777777" w:rsidR="008039AC" w:rsidRDefault="008039AC">
            <w:pPr>
              <w:rPr>
                <w:rFonts w:ascii="Arial" w:hAnsi="Arial" w:cs="Arial"/>
                <w:color w:val="000000"/>
                <w:sz w:val="16"/>
                <w:szCs w:val="16"/>
              </w:rPr>
            </w:pPr>
            <w:r>
              <w:rPr>
                <w:rFonts w:ascii="Arial" w:hAnsi="Arial" w:cs="Arial"/>
                <w:color w:val="000000"/>
                <w:sz w:val="16"/>
                <w:szCs w:val="16"/>
              </w:rPr>
              <w:t>FBC,LFT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3E" w14:textId="77777777" w:rsidR="008039AC" w:rsidRDefault="008039AC">
            <w:pPr>
              <w:rPr>
                <w:rFonts w:ascii="Arial" w:hAnsi="Arial" w:cs="Arial"/>
                <w:color w:val="000000"/>
                <w:sz w:val="16"/>
                <w:szCs w:val="16"/>
              </w:rPr>
            </w:pPr>
            <w:r>
              <w:rPr>
                <w:rFonts w:ascii="Arial" w:hAnsi="Arial" w:cs="Arial"/>
                <w:color w:val="000000"/>
                <w:sz w:val="16"/>
                <w:szCs w:val="16"/>
              </w:rPr>
              <w:t>LFT, BP, FBC</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3F" w14:textId="77777777" w:rsidR="008039AC" w:rsidRDefault="008039AC">
            <w:pPr>
              <w:rPr>
                <w:rFonts w:ascii="Arial" w:hAnsi="Arial" w:cs="Arial"/>
                <w:color w:val="000000"/>
                <w:sz w:val="16"/>
                <w:szCs w:val="16"/>
              </w:rPr>
            </w:pPr>
            <w:r>
              <w:rPr>
                <w:rFonts w:ascii="Arial" w:hAnsi="Arial" w:cs="Arial"/>
                <w:color w:val="000000"/>
                <w:sz w:val="16"/>
                <w:szCs w:val="16"/>
              </w:rPr>
              <w:t>2w for 6m then 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40" w14:textId="77777777" w:rsidR="008039AC" w:rsidRPr="008039AC" w:rsidRDefault="008039AC">
            <w:pPr>
              <w:rPr>
                <w:rFonts w:ascii="Arial" w:hAnsi="Arial" w:cs="Arial"/>
                <w:sz w:val="16"/>
              </w:rPr>
            </w:pPr>
            <w:r w:rsidRPr="008039AC">
              <w:rPr>
                <w:rFonts w:ascii="Arial" w:hAnsi="Arial" w:cs="Arial"/>
                <w:sz w:val="16"/>
              </w:rPr>
              <w:t> </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41" w14:textId="77777777" w:rsidR="008039AC" w:rsidRPr="008039AC" w:rsidRDefault="008039AC">
            <w:pPr>
              <w:rPr>
                <w:rFonts w:ascii="Arial" w:hAnsi="Arial" w:cs="Arial"/>
                <w:sz w:val="16"/>
              </w:rPr>
            </w:pPr>
            <w:r w:rsidRPr="008039AC">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42" w14:textId="77777777" w:rsidR="008039AC" w:rsidRPr="008039AC" w:rsidRDefault="008039AC">
            <w:pPr>
              <w:rPr>
                <w:rFonts w:ascii="Arial" w:hAnsi="Arial" w:cs="Arial"/>
                <w:sz w:val="16"/>
              </w:rPr>
            </w:pPr>
            <w:r w:rsidRPr="008039AC">
              <w:rPr>
                <w:rFonts w:ascii="Arial" w:hAnsi="Arial" w:cs="Arial"/>
                <w:sz w:val="16"/>
              </w:rPr>
              <w:t>Specialist input advised</w:t>
            </w:r>
          </w:p>
        </w:tc>
      </w:tr>
      <w:tr w:rsidR="008039AC" w14:paraId="3AEAD44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44" w14:textId="77777777" w:rsidR="008039AC" w:rsidRPr="008039AC" w:rsidRDefault="008039AC" w:rsidP="00D26728">
            <w:pPr>
              <w:jc w:val="center"/>
              <w:rPr>
                <w:rFonts w:ascii="Arial" w:hAnsi="Arial" w:cs="Arial"/>
                <w:b/>
                <w:bCs/>
                <w:color w:val="000000"/>
                <w:sz w:val="16"/>
              </w:rPr>
            </w:pPr>
            <w:r w:rsidRPr="008039AC">
              <w:rPr>
                <w:rFonts w:ascii="Arial" w:hAnsi="Arial" w:cs="Arial"/>
                <w:b/>
                <w:bCs/>
                <w:color w:val="000000"/>
                <w:sz w:val="16"/>
              </w:rPr>
              <w:t>Levothyroxine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45" w14:textId="77777777" w:rsidR="008039AC" w:rsidRDefault="008039AC">
            <w:pPr>
              <w:rPr>
                <w:rFonts w:ascii="Arial" w:hAnsi="Arial" w:cs="Arial"/>
                <w:color w:val="000000"/>
                <w:sz w:val="16"/>
                <w:szCs w:val="16"/>
              </w:rPr>
            </w:pPr>
            <w:r>
              <w:rPr>
                <w:rFonts w:ascii="Arial" w:hAnsi="Arial" w:cs="Arial"/>
                <w:color w:val="000000"/>
                <w:sz w:val="16"/>
                <w:szCs w:val="16"/>
              </w:rPr>
              <w:t>TFT, ECG</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46" w14:textId="77777777" w:rsidR="008039AC" w:rsidRDefault="008039AC">
            <w:pPr>
              <w:rPr>
                <w:rFonts w:ascii="Arial" w:hAnsi="Arial" w:cs="Arial"/>
                <w:color w:val="000000"/>
                <w:sz w:val="16"/>
                <w:szCs w:val="16"/>
              </w:rPr>
            </w:pPr>
            <w:r>
              <w:rPr>
                <w:rFonts w:ascii="Arial" w:hAnsi="Arial" w:cs="Arial"/>
                <w:color w:val="000000"/>
                <w:sz w:val="16"/>
                <w:szCs w:val="16"/>
              </w:rPr>
              <w:t>TFT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47" w14:textId="77777777" w:rsidR="008039AC" w:rsidRDefault="008039AC">
            <w:pPr>
              <w:rPr>
                <w:rFonts w:ascii="Arial" w:hAnsi="Arial" w:cs="Arial"/>
                <w:color w:val="000000"/>
                <w:sz w:val="16"/>
                <w:szCs w:val="16"/>
              </w:rPr>
            </w:pPr>
            <w:r>
              <w:rPr>
                <w:rFonts w:ascii="Arial" w:hAnsi="Arial" w:cs="Arial"/>
                <w:color w:val="000000"/>
                <w:sz w:val="16"/>
                <w:szCs w:val="16"/>
              </w:rPr>
              <w:t>3 m then 6m then 12m if stable</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48" w14:textId="77777777" w:rsidR="008039AC" w:rsidRPr="008039AC" w:rsidRDefault="008039AC">
            <w:pPr>
              <w:rPr>
                <w:rFonts w:ascii="Arial" w:hAnsi="Arial" w:cs="Arial"/>
                <w:sz w:val="16"/>
              </w:rPr>
            </w:pPr>
            <w:r w:rsidRPr="008039AC">
              <w:rPr>
                <w:rFonts w:ascii="Arial" w:hAnsi="Arial" w:cs="Arial"/>
                <w:sz w:val="16"/>
              </w:rPr>
              <w:t>Annually once stable.</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49" w14:textId="77777777" w:rsidR="008039AC" w:rsidRPr="008039AC" w:rsidRDefault="008039AC">
            <w:pPr>
              <w:rPr>
                <w:rFonts w:ascii="Arial" w:hAnsi="Arial" w:cs="Arial"/>
                <w:sz w:val="16"/>
              </w:rPr>
            </w:pPr>
            <w:r w:rsidRPr="008039AC">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4A" w14:textId="77777777" w:rsidR="008039AC" w:rsidRPr="008039AC" w:rsidRDefault="008039AC">
            <w:pPr>
              <w:rPr>
                <w:rFonts w:ascii="Arial" w:hAnsi="Arial" w:cs="Arial"/>
                <w:sz w:val="16"/>
              </w:rPr>
            </w:pPr>
            <w:r w:rsidRPr="008039AC">
              <w:rPr>
                <w:rFonts w:ascii="Arial" w:hAnsi="Arial" w:cs="Arial"/>
                <w:sz w:val="16"/>
              </w:rPr>
              <w:t>Caution in cardiovascular disease.</w:t>
            </w:r>
          </w:p>
        </w:tc>
      </w:tr>
      <w:tr w:rsidR="00D26728" w14:paraId="3AEAD45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4C"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Lithium</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4D" w14:textId="77777777" w:rsidR="00D26728" w:rsidRDefault="00D26728">
            <w:pPr>
              <w:rPr>
                <w:rFonts w:ascii="Arial" w:hAnsi="Arial" w:cs="Arial"/>
                <w:color w:val="000000"/>
                <w:sz w:val="16"/>
                <w:szCs w:val="16"/>
              </w:rPr>
            </w:pPr>
            <w:r>
              <w:rPr>
                <w:rFonts w:ascii="Arial" w:hAnsi="Arial" w:cs="Arial"/>
                <w:color w:val="000000"/>
                <w:sz w:val="16"/>
                <w:szCs w:val="16"/>
              </w:rPr>
              <w:t>FBC, LFT,Bone Profile, UE, TFT, ECG</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4E" w14:textId="77777777" w:rsidR="00D26728" w:rsidRDefault="00D26728">
            <w:pPr>
              <w:rPr>
                <w:rFonts w:ascii="Arial" w:hAnsi="Arial" w:cs="Arial"/>
                <w:color w:val="000000"/>
                <w:sz w:val="16"/>
                <w:szCs w:val="16"/>
              </w:rPr>
            </w:pPr>
            <w:r>
              <w:rPr>
                <w:rFonts w:ascii="Arial" w:hAnsi="Arial" w:cs="Arial"/>
                <w:color w:val="000000"/>
                <w:sz w:val="16"/>
                <w:szCs w:val="16"/>
              </w:rPr>
              <w:t>TFT,UE,Bone Profile,FBC,LFT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4F" w14:textId="77777777" w:rsidR="00D26728" w:rsidRDefault="00D26728">
            <w:pPr>
              <w:rPr>
                <w:rFonts w:ascii="Arial" w:hAnsi="Arial" w:cs="Arial"/>
                <w:color w:val="000000"/>
                <w:sz w:val="16"/>
                <w:szCs w:val="16"/>
              </w:rPr>
            </w:pPr>
            <w:r>
              <w:rPr>
                <w:rFonts w:ascii="Arial" w:hAnsi="Arial" w:cs="Arial"/>
                <w:color w:val="000000"/>
                <w:sz w:val="16"/>
                <w:szCs w:val="16"/>
              </w:rPr>
              <w:t>3m then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50" w14:textId="77777777" w:rsidR="00D26728" w:rsidRPr="00D26728" w:rsidRDefault="00D26728">
            <w:pPr>
              <w:rPr>
                <w:rFonts w:ascii="Arial" w:hAnsi="Arial" w:cs="Arial"/>
                <w:sz w:val="16"/>
              </w:rPr>
            </w:pPr>
            <w:r w:rsidRPr="00D26728">
              <w:rPr>
                <w:rFonts w:ascii="Arial" w:hAnsi="Arial" w:cs="Arial"/>
                <w:sz w:val="16"/>
              </w:rPr>
              <w:t>Annual Ca2+ (Watch for hypercalcaemia), RFT &amp; TFT 6 monthly. Monitor Wt. if rapid weights gain.</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51" w14:textId="77777777" w:rsidR="00D26728" w:rsidRPr="00D26728" w:rsidRDefault="00D26728">
            <w:pPr>
              <w:rPr>
                <w:rFonts w:ascii="Arial" w:hAnsi="Arial" w:cs="Arial"/>
                <w:sz w:val="16"/>
              </w:rPr>
            </w:pPr>
            <w:r w:rsidRPr="00D26728">
              <w:rPr>
                <w:rFonts w:ascii="Arial" w:hAnsi="Arial" w:cs="Arial"/>
                <w:sz w:val="16"/>
              </w:rPr>
              <w:t>After 4-5 (&lt;7) days initially</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52" w14:textId="77777777" w:rsidR="00D26728" w:rsidRPr="00D26728" w:rsidRDefault="00D26728">
            <w:pPr>
              <w:rPr>
                <w:rFonts w:ascii="Arial" w:hAnsi="Arial" w:cs="Arial"/>
                <w:sz w:val="16"/>
              </w:rPr>
            </w:pPr>
            <w:r w:rsidRPr="00D26728">
              <w:rPr>
                <w:rFonts w:ascii="Arial" w:hAnsi="Arial" w:cs="Arial"/>
                <w:sz w:val="16"/>
              </w:rPr>
              <w:t>Weekly lithium levels until constant for 4 weeks, then normally every 3 months. Measure drug level at least 12 hours post-dose or a trough level if taken as a twice daily dose (i.e. before next dose).</w:t>
            </w:r>
          </w:p>
        </w:tc>
      </w:tr>
      <w:tr w:rsidR="00D26728" w14:paraId="3AEAD45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54"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Methotrexate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55" w14:textId="77777777" w:rsidR="00D26728" w:rsidRDefault="00D26728">
            <w:pPr>
              <w:rPr>
                <w:rFonts w:ascii="Arial" w:hAnsi="Arial" w:cs="Arial"/>
                <w:color w:val="000000"/>
                <w:sz w:val="16"/>
                <w:szCs w:val="16"/>
              </w:rPr>
            </w:pPr>
            <w:r>
              <w:rPr>
                <w:rFonts w:ascii="Arial" w:hAnsi="Arial" w:cs="Arial"/>
                <w:color w:val="000000"/>
                <w:sz w:val="16"/>
                <w:szCs w:val="16"/>
              </w:rPr>
              <w:t>FBC,LFT,UE CXR</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56" w14:textId="77777777" w:rsidR="00D26728" w:rsidRDefault="00D26728">
            <w:pPr>
              <w:rPr>
                <w:rFonts w:ascii="Arial" w:hAnsi="Arial" w:cs="Arial"/>
                <w:color w:val="000000"/>
                <w:sz w:val="16"/>
                <w:szCs w:val="16"/>
              </w:rPr>
            </w:pPr>
            <w:r>
              <w:rPr>
                <w:rFonts w:ascii="Arial" w:hAnsi="Arial" w:cs="Arial"/>
                <w:color w:val="000000"/>
                <w:sz w:val="16"/>
                <w:szCs w:val="16"/>
              </w:rPr>
              <w:t>FBC,UE,LFT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57" w14:textId="77777777" w:rsidR="00D26728" w:rsidRDefault="00D26728">
            <w:pPr>
              <w:rPr>
                <w:rFonts w:ascii="Arial" w:hAnsi="Arial" w:cs="Arial"/>
                <w:color w:val="000000"/>
                <w:sz w:val="16"/>
                <w:szCs w:val="16"/>
              </w:rPr>
            </w:pPr>
            <w:r>
              <w:rPr>
                <w:rFonts w:ascii="Arial" w:hAnsi="Arial" w:cs="Arial"/>
                <w:color w:val="000000"/>
                <w:sz w:val="16"/>
                <w:szCs w:val="16"/>
              </w:rPr>
              <w:t>1w until stable dose then &lt; 3m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58" w14:textId="77777777" w:rsidR="00D26728" w:rsidRPr="00D26728" w:rsidRDefault="00D26728">
            <w:pPr>
              <w:rPr>
                <w:rFonts w:ascii="Arial" w:hAnsi="Arial" w:cs="Arial"/>
                <w:sz w:val="16"/>
              </w:rPr>
            </w:pPr>
            <w:r w:rsidRPr="00D26728">
              <w:rPr>
                <w:rFonts w:ascii="Arial" w:hAnsi="Arial" w:cs="Arial"/>
                <w:sz w:val="16"/>
              </w:rPr>
              <w:t>Weekly until stabilised. Monitor 2-3 monthly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59"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5A" w14:textId="77777777" w:rsidR="00D26728" w:rsidRPr="00D26728" w:rsidRDefault="00D26728">
            <w:pPr>
              <w:rPr>
                <w:rFonts w:ascii="Arial" w:hAnsi="Arial" w:cs="Arial"/>
                <w:sz w:val="16"/>
              </w:rPr>
            </w:pPr>
            <w:r w:rsidRPr="00D26728">
              <w:rPr>
                <w:rFonts w:ascii="Arial" w:hAnsi="Arial" w:cs="Arial"/>
                <w:sz w:val="16"/>
              </w:rPr>
              <w:t>SPC suggests FBC, Urine, RFT’s &amp; LFT’s every 2-3 months. This monitoring would also apply to patients taking methotrexate for GI and skin conditions.</w:t>
            </w:r>
          </w:p>
        </w:tc>
      </w:tr>
      <w:tr w:rsidR="00D26728" w14:paraId="3AEAD46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5C"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Minocycline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5D" w14:textId="77777777" w:rsidR="00D26728" w:rsidRDefault="00D26728">
            <w:pPr>
              <w:rPr>
                <w:rFonts w:ascii="Arial" w:hAnsi="Arial" w:cs="Arial"/>
                <w:color w:val="000000"/>
                <w:sz w:val="16"/>
                <w:szCs w:val="16"/>
              </w:rPr>
            </w:pPr>
            <w:r>
              <w:rPr>
                <w:rFonts w:ascii="Arial" w:hAnsi="Arial" w:cs="Arial"/>
                <w:color w:val="000000"/>
                <w:sz w:val="16"/>
                <w:szCs w:val="16"/>
              </w:rPr>
              <w:t>None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5E" w14:textId="77777777" w:rsidR="00D26728" w:rsidRDefault="00D26728">
            <w:pPr>
              <w:rPr>
                <w:rFonts w:ascii="Arial" w:hAnsi="Arial" w:cs="Arial"/>
                <w:color w:val="000000"/>
                <w:sz w:val="16"/>
                <w:szCs w:val="16"/>
              </w:rPr>
            </w:pPr>
            <w:r>
              <w:rPr>
                <w:rFonts w:ascii="Arial" w:hAnsi="Arial" w:cs="Arial"/>
                <w:color w:val="000000"/>
                <w:sz w:val="16"/>
                <w:szCs w:val="16"/>
              </w:rPr>
              <w:t>FBC, UE, LFT 3monthly review</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5F" w14:textId="77777777" w:rsidR="00D26728" w:rsidRDefault="00D26728">
            <w:pPr>
              <w:rPr>
                <w:rFonts w:ascii="Arial" w:hAnsi="Arial" w:cs="Arial"/>
                <w:color w:val="000000"/>
                <w:sz w:val="16"/>
                <w:szCs w:val="16"/>
              </w:rPr>
            </w:pPr>
            <w:r>
              <w:rPr>
                <w:rFonts w:ascii="Arial" w:hAnsi="Arial" w:cs="Arial"/>
                <w:color w:val="000000"/>
                <w:sz w:val="16"/>
                <w:szCs w:val="16"/>
              </w:rPr>
              <w:t>3m then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60" w14:textId="77777777" w:rsidR="00D26728" w:rsidRPr="00D26728" w:rsidRDefault="00D26728">
            <w:pPr>
              <w:rPr>
                <w:rFonts w:ascii="Arial" w:hAnsi="Arial" w:cs="Arial"/>
                <w:sz w:val="16"/>
              </w:rPr>
            </w:pPr>
            <w:r w:rsidRPr="00D26728">
              <w:rPr>
                <w:rFonts w:ascii="Arial" w:hAnsi="Arial" w:cs="Arial"/>
                <w:sz w:val="16"/>
              </w:rPr>
              <w:t>Advised if Tx continues for longer than 6 months.</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61"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62" w14:textId="77777777" w:rsidR="00D26728" w:rsidRPr="00D26728" w:rsidRDefault="00D26728">
            <w:pPr>
              <w:rPr>
                <w:rFonts w:ascii="Arial" w:hAnsi="Arial" w:cs="Arial"/>
                <w:sz w:val="16"/>
              </w:rPr>
            </w:pPr>
            <w:r w:rsidRPr="00D26728">
              <w:rPr>
                <w:rFonts w:ascii="Arial" w:hAnsi="Arial" w:cs="Arial"/>
                <w:sz w:val="16"/>
              </w:rPr>
              <w:t>Check for signs/symptoms of hepatotoxicity or Systemic Lupus Erythematosus (SLE) pigmentation.</w:t>
            </w:r>
          </w:p>
        </w:tc>
      </w:tr>
      <w:tr w:rsidR="00D26728" w14:paraId="3AEAD46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64"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Mycophenolate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65" w14:textId="77777777" w:rsidR="00D26728" w:rsidRDefault="00D26728">
            <w:pPr>
              <w:rPr>
                <w:rFonts w:ascii="Arial" w:hAnsi="Arial" w:cs="Arial"/>
                <w:color w:val="000000"/>
                <w:sz w:val="16"/>
                <w:szCs w:val="16"/>
              </w:rPr>
            </w:pPr>
            <w:r>
              <w:rPr>
                <w:rFonts w:ascii="Arial" w:hAnsi="Arial" w:cs="Arial"/>
                <w:color w:val="000000"/>
                <w:sz w:val="16"/>
                <w:szCs w:val="16"/>
              </w:rPr>
              <w:t>FBC</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66" w14:textId="77777777" w:rsidR="00D26728" w:rsidRDefault="00D26728">
            <w:pPr>
              <w:rPr>
                <w:rFonts w:ascii="Arial" w:hAnsi="Arial" w:cs="Arial"/>
                <w:color w:val="000000"/>
                <w:sz w:val="16"/>
                <w:szCs w:val="16"/>
              </w:rPr>
            </w:pPr>
            <w:r>
              <w:rPr>
                <w:rFonts w:ascii="Arial" w:hAnsi="Arial" w:cs="Arial"/>
                <w:color w:val="000000"/>
                <w:sz w:val="16"/>
                <w:szCs w:val="16"/>
              </w:rPr>
              <w:t>FBC</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67" w14:textId="77777777" w:rsidR="00D26728" w:rsidRDefault="00D26728">
            <w:pPr>
              <w:rPr>
                <w:rFonts w:ascii="Arial" w:hAnsi="Arial" w:cs="Arial"/>
                <w:color w:val="000000"/>
                <w:sz w:val="16"/>
                <w:szCs w:val="16"/>
              </w:rPr>
            </w:pPr>
            <w:r>
              <w:rPr>
                <w:rFonts w:ascii="Arial" w:hAnsi="Arial" w:cs="Arial"/>
                <w:color w:val="000000"/>
                <w:sz w:val="16"/>
                <w:szCs w:val="16"/>
              </w:rPr>
              <w:t>7d for 4w then 2w for 8w then 1m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68" w14:textId="77777777" w:rsidR="00D26728" w:rsidRPr="00D26728" w:rsidRDefault="00D26728">
            <w:pPr>
              <w:rPr>
                <w:rFonts w:ascii="Arial" w:hAnsi="Arial" w:cs="Arial"/>
                <w:sz w:val="16"/>
              </w:rPr>
            </w:pPr>
            <w:r w:rsidRPr="00D26728">
              <w:rPr>
                <w:rFonts w:ascii="Arial" w:hAnsi="Arial" w:cs="Arial"/>
                <w:sz w:val="16"/>
              </w:rPr>
              <w:t>FBC weekly for 4 wks, then twice monthly for 2 months then every month in 1st year.</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69"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6A" w14:textId="77777777" w:rsidR="00D26728" w:rsidRPr="00D26728" w:rsidRDefault="00D26728">
            <w:pPr>
              <w:rPr>
                <w:rFonts w:ascii="Arial" w:hAnsi="Arial" w:cs="Arial"/>
                <w:sz w:val="16"/>
              </w:rPr>
            </w:pPr>
            <w:r w:rsidRPr="00D26728">
              <w:rPr>
                <w:rFonts w:ascii="Arial" w:hAnsi="Arial" w:cs="Arial"/>
                <w:sz w:val="16"/>
              </w:rPr>
              <w:t>Patients should report bruising, bleeding, fever etc.</w:t>
            </w:r>
          </w:p>
        </w:tc>
      </w:tr>
      <w:tr w:rsidR="00D26728" w14:paraId="3AEAD47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6C"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 xml:space="preserve">NOACs (Apixaban, Dabigatran, </w:t>
            </w:r>
            <w:r w:rsidR="005F0F41" w:rsidRPr="00D26728">
              <w:rPr>
                <w:rFonts w:ascii="Arial" w:hAnsi="Arial" w:cs="Arial"/>
                <w:b/>
                <w:bCs/>
                <w:color w:val="000000"/>
                <w:sz w:val="16"/>
              </w:rPr>
              <w:t>Edoxaban, Rivaroxaban</w:t>
            </w:r>
            <w:r w:rsidRPr="00D26728">
              <w:rPr>
                <w:rFonts w:ascii="Arial" w:hAnsi="Arial" w:cs="Arial"/>
                <w:b/>
                <w:bCs/>
                <w:color w:val="000000"/>
                <w:sz w:val="16"/>
              </w:rPr>
              <w:t>)</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6D" w14:textId="77777777" w:rsidR="00D26728" w:rsidRDefault="00D26728">
            <w:pPr>
              <w:rPr>
                <w:rFonts w:ascii="Arial" w:hAnsi="Arial" w:cs="Arial"/>
                <w:color w:val="000000"/>
                <w:sz w:val="16"/>
                <w:szCs w:val="16"/>
              </w:rPr>
            </w:pPr>
            <w:r>
              <w:rPr>
                <w:rFonts w:ascii="Arial" w:hAnsi="Arial" w:cs="Arial"/>
                <w:color w:val="000000"/>
                <w:sz w:val="16"/>
                <w:szCs w:val="16"/>
              </w:rPr>
              <w:t>COAG screen, LFT, FBC, UE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6E" w14:textId="77777777" w:rsidR="00D26728" w:rsidRDefault="00D26728">
            <w:pPr>
              <w:rPr>
                <w:rFonts w:ascii="Arial" w:hAnsi="Arial" w:cs="Arial"/>
                <w:color w:val="000000"/>
                <w:sz w:val="16"/>
                <w:szCs w:val="16"/>
              </w:rPr>
            </w:pPr>
            <w:r>
              <w:rPr>
                <w:rFonts w:ascii="Arial" w:hAnsi="Arial" w:cs="Arial"/>
                <w:color w:val="000000"/>
                <w:sz w:val="16"/>
                <w:szCs w:val="16"/>
              </w:rPr>
              <w:t>UE,LFT,FBC</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6F" w14:textId="77777777" w:rsidR="00D26728" w:rsidRDefault="00D26728">
            <w:pPr>
              <w:rPr>
                <w:rFonts w:ascii="Arial" w:hAnsi="Arial" w:cs="Arial"/>
                <w:color w:val="000000"/>
                <w:sz w:val="16"/>
                <w:szCs w:val="16"/>
              </w:rPr>
            </w:pPr>
            <w:r>
              <w:rPr>
                <w:rFonts w:ascii="Arial" w:hAnsi="Arial" w:cs="Arial"/>
                <w:color w:val="000000"/>
                <w:sz w:val="16"/>
                <w:szCs w:val="16"/>
              </w:rPr>
              <w:t>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70" w14:textId="77777777" w:rsidR="00D26728" w:rsidRPr="00D26728" w:rsidRDefault="00D26728">
            <w:pPr>
              <w:rPr>
                <w:rFonts w:ascii="Arial" w:hAnsi="Arial" w:cs="Arial"/>
                <w:sz w:val="16"/>
              </w:rPr>
            </w:pPr>
            <w:r w:rsidRPr="00D26728">
              <w:rPr>
                <w:rFonts w:ascii="Arial" w:hAnsi="Arial" w:cs="Arial"/>
                <w:sz w:val="16"/>
              </w:rPr>
              <w:t>Annually or more frequent if indicated</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71"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72" w14:textId="77777777" w:rsidR="00D26728" w:rsidRPr="00D26728" w:rsidRDefault="00D26728">
            <w:pPr>
              <w:rPr>
                <w:rFonts w:ascii="Arial" w:hAnsi="Arial" w:cs="Arial"/>
                <w:sz w:val="16"/>
              </w:rPr>
            </w:pPr>
            <w:r w:rsidRPr="00D26728">
              <w:rPr>
                <w:rFonts w:ascii="Arial" w:hAnsi="Arial" w:cs="Arial"/>
                <w:sz w:val="16"/>
              </w:rPr>
              <w:t>U&amp; E’s, LFTs, FBC at least once a year especially in elderly and patients with renal impairment. Repeat U&amp;Es more frequently in patients over 75 years or established renal impairment. Frequently assess compliance and reinforce advice regarding regular dosing schedule. Advise patient to report optical or gastric bleeds</w:t>
            </w:r>
          </w:p>
        </w:tc>
      </w:tr>
      <w:tr w:rsidR="00D26728" w14:paraId="3AEAD47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74"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Oxcarbazepine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75" w14:textId="77777777" w:rsidR="00D26728" w:rsidRDefault="00D26728">
            <w:pPr>
              <w:rPr>
                <w:rFonts w:ascii="Arial" w:hAnsi="Arial" w:cs="Arial"/>
                <w:color w:val="000000"/>
                <w:sz w:val="16"/>
                <w:szCs w:val="16"/>
              </w:rPr>
            </w:pPr>
            <w:r>
              <w:rPr>
                <w:rFonts w:ascii="Arial" w:hAnsi="Arial" w:cs="Arial"/>
                <w:color w:val="000000"/>
                <w:sz w:val="16"/>
                <w:szCs w:val="16"/>
              </w:rPr>
              <w:t>UE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76" w14:textId="77777777" w:rsidR="00D26728" w:rsidRDefault="00D26728">
            <w:pPr>
              <w:rPr>
                <w:rFonts w:ascii="Arial" w:hAnsi="Arial" w:cs="Arial"/>
                <w:color w:val="000000"/>
                <w:sz w:val="16"/>
                <w:szCs w:val="16"/>
              </w:rPr>
            </w:pPr>
            <w:r>
              <w:rPr>
                <w:rFonts w:ascii="Arial" w:hAnsi="Arial" w:cs="Arial"/>
                <w:color w:val="000000"/>
                <w:sz w:val="16"/>
                <w:szCs w:val="16"/>
              </w:rPr>
              <w:t>UE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77" w14:textId="77777777" w:rsidR="00D26728" w:rsidRDefault="00D26728">
            <w:pPr>
              <w:rPr>
                <w:rFonts w:ascii="Arial" w:hAnsi="Arial" w:cs="Arial"/>
                <w:color w:val="000000"/>
                <w:sz w:val="16"/>
                <w:szCs w:val="16"/>
              </w:rPr>
            </w:pPr>
            <w:r>
              <w:rPr>
                <w:rFonts w:ascii="Arial" w:hAnsi="Arial" w:cs="Arial"/>
                <w:color w:val="000000"/>
                <w:sz w:val="16"/>
                <w:szCs w:val="16"/>
              </w:rPr>
              <w:t> </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78" w14:textId="77777777" w:rsidR="00D26728" w:rsidRPr="00D26728" w:rsidRDefault="00D26728">
            <w:pPr>
              <w:rPr>
                <w:rFonts w:ascii="Arial" w:hAnsi="Arial" w:cs="Arial"/>
                <w:sz w:val="16"/>
              </w:rPr>
            </w:pPr>
            <w:r w:rsidRPr="00D26728">
              <w:rPr>
                <w:rFonts w:ascii="Arial" w:hAnsi="Arial" w:cs="Arial"/>
                <w:sz w:val="16"/>
              </w:rPr>
              <w:t>See SPC- only some patients included.</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79" w14:textId="77777777" w:rsidR="00D26728" w:rsidRPr="00D26728" w:rsidRDefault="00D26728">
            <w:pPr>
              <w:rPr>
                <w:rFonts w:ascii="Arial" w:hAnsi="Arial" w:cs="Arial"/>
                <w:sz w:val="16"/>
              </w:rPr>
            </w:pPr>
            <w:r w:rsidRPr="00D26728">
              <w:rPr>
                <w:rFonts w:ascii="Arial" w:hAnsi="Arial" w:cs="Arial"/>
                <w:sz w:val="16"/>
              </w:rPr>
              <w:t>No</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7A" w14:textId="77777777" w:rsidR="00D26728" w:rsidRPr="00D26728" w:rsidRDefault="00D26728">
            <w:pPr>
              <w:rPr>
                <w:rFonts w:ascii="Arial" w:hAnsi="Arial" w:cs="Arial"/>
                <w:sz w:val="16"/>
              </w:rPr>
            </w:pPr>
            <w:r w:rsidRPr="00D26728">
              <w:rPr>
                <w:rFonts w:ascii="Arial" w:hAnsi="Arial" w:cs="Arial"/>
                <w:sz w:val="16"/>
              </w:rPr>
              <w:t>Counsel pts on awareness of possible blood, liver or skin disorders.</w:t>
            </w:r>
          </w:p>
        </w:tc>
      </w:tr>
      <w:tr w:rsidR="00D26728" w14:paraId="3AEAD48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7C"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Penicillamine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7D" w14:textId="77777777" w:rsidR="00D26728" w:rsidRDefault="00D26728">
            <w:pPr>
              <w:rPr>
                <w:rFonts w:ascii="Arial" w:hAnsi="Arial" w:cs="Arial"/>
                <w:color w:val="000000"/>
                <w:sz w:val="16"/>
                <w:szCs w:val="16"/>
              </w:rPr>
            </w:pPr>
            <w:r>
              <w:rPr>
                <w:rFonts w:ascii="Arial" w:hAnsi="Arial" w:cs="Arial"/>
                <w:color w:val="000000"/>
                <w:sz w:val="16"/>
                <w:szCs w:val="16"/>
              </w:rPr>
              <w:t>FBC,UE, ESR, CRP, LFT, proteinuria</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7E" w14:textId="77777777" w:rsidR="00D26728" w:rsidRDefault="00D26728">
            <w:pPr>
              <w:rPr>
                <w:rFonts w:ascii="Arial" w:hAnsi="Arial" w:cs="Arial"/>
                <w:color w:val="000000"/>
                <w:sz w:val="16"/>
                <w:szCs w:val="16"/>
              </w:rPr>
            </w:pPr>
            <w:r>
              <w:rPr>
                <w:rFonts w:ascii="Arial" w:hAnsi="Arial" w:cs="Arial"/>
                <w:color w:val="000000"/>
                <w:sz w:val="16"/>
                <w:szCs w:val="16"/>
              </w:rPr>
              <w:t>FBC,UE, ESR, CRP, LFT, proteinuria</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7F" w14:textId="77777777" w:rsidR="00D26728" w:rsidRDefault="00D26728">
            <w:pPr>
              <w:rPr>
                <w:rFonts w:ascii="Arial" w:hAnsi="Arial" w:cs="Arial"/>
                <w:color w:val="000000"/>
                <w:sz w:val="16"/>
                <w:szCs w:val="16"/>
              </w:rPr>
            </w:pPr>
            <w:r>
              <w:rPr>
                <w:rFonts w:ascii="Arial" w:hAnsi="Arial" w:cs="Arial"/>
                <w:color w:val="000000"/>
                <w:sz w:val="16"/>
                <w:szCs w:val="16"/>
              </w:rPr>
              <w:t>2w for 2m then 1m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80" w14:textId="77777777" w:rsidR="00D26728" w:rsidRPr="00D26728" w:rsidRDefault="00D26728">
            <w:pPr>
              <w:rPr>
                <w:rFonts w:ascii="Arial" w:hAnsi="Arial" w:cs="Arial"/>
                <w:sz w:val="16"/>
              </w:rPr>
            </w:pPr>
            <w:r w:rsidRPr="00D26728">
              <w:rPr>
                <w:rFonts w:ascii="Arial" w:hAnsi="Arial" w:cs="Arial"/>
                <w:sz w:val="16"/>
              </w:rPr>
              <w:t xml:space="preserve">FBC, RFT’s every 2 weeks for 2 month, then monthly. Annual RFT’s, LFT’s.  Patient can do weekly urinalysis.  </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81"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82" w14:textId="77777777" w:rsidR="00D26728" w:rsidRPr="00D26728" w:rsidRDefault="00D26728">
            <w:pPr>
              <w:rPr>
                <w:rFonts w:ascii="Arial" w:hAnsi="Arial" w:cs="Arial"/>
                <w:sz w:val="16"/>
              </w:rPr>
            </w:pPr>
            <w:r w:rsidRPr="00D26728">
              <w:rPr>
                <w:rFonts w:ascii="Arial" w:hAnsi="Arial" w:cs="Arial"/>
                <w:sz w:val="16"/>
              </w:rPr>
              <w:t>Taste disturbance can be ignored unless distressing when dose reduction may be needed. Be vigilant for - sore throat, fever, infection, unexplained bleeding &amp; bruising, purpura, mouth ulcers or rashes. Specialist input advised</w:t>
            </w:r>
          </w:p>
        </w:tc>
      </w:tr>
      <w:tr w:rsidR="00D26728" w14:paraId="3AEAD48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84"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Phenytoin</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85" w14:textId="77777777" w:rsidR="00D26728" w:rsidRDefault="00D26728">
            <w:pPr>
              <w:rPr>
                <w:rFonts w:ascii="Arial" w:hAnsi="Arial" w:cs="Arial"/>
                <w:color w:val="000000"/>
                <w:sz w:val="16"/>
                <w:szCs w:val="16"/>
              </w:rPr>
            </w:pPr>
            <w:r>
              <w:rPr>
                <w:rFonts w:ascii="Arial" w:hAnsi="Arial" w:cs="Arial"/>
                <w:color w:val="000000"/>
                <w:sz w:val="16"/>
                <w:szCs w:val="16"/>
              </w:rPr>
              <w:t>FBC, 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86" w14:textId="77777777" w:rsidR="00D26728" w:rsidRDefault="00D26728">
            <w:pPr>
              <w:rPr>
                <w:rFonts w:ascii="Arial" w:hAnsi="Arial" w:cs="Arial"/>
                <w:color w:val="000000"/>
                <w:sz w:val="16"/>
                <w:szCs w:val="16"/>
              </w:rPr>
            </w:pPr>
            <w:r>
              <w:rPr>
                <w:rFonts w:ascii="Arial" w:hAnsi="Arial" w:cs="Arial"/>
                <w:color w:val="000000"/>
                <w:sz w:val="16"/>
                <w:szCs w:val="16"/>
              </w:rPr>
              <w:t>FBC, LFT, B12 &amp;folate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87" w14:textId="77777777" w:rsidR="00D26728" w:rsidRDefault="00D26728">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88" w14:textId="77777777" w:rsidR="00D26728" w:rsidRPr="00D26728" w:rsidRDefault="00D26728">
            <w:pPr>
              <w:rPr>
                <w:rFonts w:ascii="Arial" w:hAnsi="Arial" w:cs="Arial"/>
                <w:sz w:val="16"/>
              </w:rPr>
            </w:pPr>
            <w:r w:rsidRPr="00D26728">
              <w:rPr>
                <w:rFonts w:ascii="Arial" w:hAnsi="Arial" w:cs="Arial"/>
                <w:sz w:val="16"/>
              </w:rPr>
              <w:t>FBC,LFT.B12 &amp; Folate 6 monthly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89" w14:textId="77777777" w:rsidR="00D26728" w:rsidRPr="00D26728" w:rsidRDefault="00D26728">
            <w:pPr>
              <w:rPr>
                <w:rFonts w:ascii="Arial" w:hAnsi="Arial" w:cs="Arial"/>
                <w:sz w:val="16"/>
              </w:rPr>
            </w:pPr>
            <w:r w:rsidRPr="00D26728">
              <w:rPr>
                <w:rFonts w:ascii="Arial" w:hAnsi="Arial" w:cs="Arial"/>
                <w:sz w:val="16"/>
              </w:rPr>
              <w:t>Often Useful</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8A" w14:textId="77777777" w:rsidR="00D26728" w:rsidRPr="00D26728" w:rsidRDefault="00D26728">
            <w:pPr>
              <w:rPr>
                <w:rFonts w:ascii="Arial" w:hAnsi="Arial" w:cs="Arial"/>
                <w:sz w:val="16"/>
              </w:rPr>
            </w:pPr>
            <w:r w:rsidRPr="00D26728">
              <w:rPr>
                <w:rFonts w:ascii="Arial" w:hAnsi="Arial" w:cs="Arial"/>
                <w:sz w:val="16"/>
              </w:rPr>
              <w:t>As for carbamazepine. Check pre-dose trough if level required.</w:t>
            </w:r>
          </w:p>
        </w:tc>
      </w:tr>
      <w:tr w:rsidR="00D26728" w14:paraId="3AEAD49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8C"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Propylthiouracil</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8D" w14:textId="77777777" w:rsidR="00D26728" w:rsidRDefault="00D26728">
            <w:pPr>
              <w:rPr>
                <w:rFonts w:ascii="Arial" w:hAnsi="Arial" w:cs="Arial"/>
                <w:color w:val="000000"/>
                <w:sz w:val="16"/>
                <w:szCs w:val="16"/>
              </w:rPr>
            </w:pPr>
            <w:r>
              <w:rPr>
                <w:rFonts w:ascii="Arial" w:hAnsi="Arial" w:cs="Arial"/>
                <w:color w:val="000000"/>
                <w:sz w:val="16"/>
                <w:szCs w:val="16"/>
              </w:rPr>
              <w:t>LFT,FBC,TFT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8E" w14:textId="77777777" w:rsidR="00D26728" w:rsidRDefault="00D26728">
            <w:pPr>
              <w:rPr>
                <w:rFonts w:ascii="Arial" w:hAnsi="Arial" w:cs="Arial"/>
                <w:color w:val="000000"/>
                <w:sz w:val="16"/>
                <w:szCs w:val="16"/>
              </w:rPr>
            </w:pPr>
            <w:r>
              <w:rPr>
                <w:rFonts w:ascii="Arial" w:hAnsi="Arial" w:cs="Arial"/>
                <w:color w:val="000000"/>
                <w:sz w:val="16"/>
                <w:szCs w:val="16"/>
              </w:rPr>
              <w:t>LFT, FBC, TFT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8F" w14:textId="77777777" w:rsidR="00D26728" w:rsidRDefault="00D26728">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90" w14:textId="77777777" w:rsidR="00D26728" w:rsidRPr="00D26728" w:rsidRDefault="00D26728">
            <w:pPr>
              <w:rPr>
                <w:rFonts w:ascii="Arial" w:hAnsi="Arial" w:cs="Arial"/>
                <w:sz w:val="16"/>
              </w:rPr>
            </w:pPr>
            <w:r w:rsidRPr="00D26728">
              <w:rPr>
                <w:rFonts w:ascii="Arial" w:hAnsi="Arial" w:cs="Arial"/>
                <w:sz w:val="16"/>
              </w:rPr>
              <w:t>LFT’s during 1st 6 months.</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91"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92" w14:textId="77777777" w:rsidR="00D26728" w:rsidRPr="00D26728" w:rsidRDefault="00D26728">
            <w:pPr>
              <w:rPr>
                <w:rFonts w:ascii="Arial" w:hAnsi="Arial" w:cs="Arial"/>
                <w:sz w:val="16"/>
              </w:rPr>
            </w:pPr>
            <w:r w:rsidRPr="00D26728">
              <w:rPr>
                <w:rFonts w:ascii="Arial" w:hAnsi="Arial" w:cs="Arial"/>
                <w:sz w:val="16"/>
              </w:rPr>
              <w:t>Patients should report symptoms of sore throat, mouth ulcers, bruising, bleeding, fever, etc. Patients to report signs of jaundice.</w:t>
            </w:r>
          </w:p>
        </w:tc>
      </w:tr>
      <w:tr w:rsidR="00D26728" w14:paraId="3AEAD49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94"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 xml:space="preserve">Sodium aurothiomalate  </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95" w14:textId="77777777" w:rsidR="00D26728" w:rsidRDefault="00D26728">
            <w:pPr>
              <w:rPr>
                <w:rFonts w:ascii="Arial" w:hAnsi="Arial" w:cs="Arial"/>
                <w:color w:val="000000"/>
                <w:sz w:val="16"/>
                <w:szCs w:val="16"/>
              </w:rPr>
            </w:pPr>
            <w:r>
              <w:rPr>
                <w:rFonts w:ascii="Arial" w:hAnsi="Arial" w:cs="Arial"/>
                <w:color w:val="000000"/>
                <w:sz w:val="16"/>
                <w:szCs w:val="16"/>
              </w:rPr>
              <w:t>FBC ,proteinuria ,UE, 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96" w14:textId="77777777" w:rsidR="00D26728" w:rsidRDefault="00D26728">
            <w:pPr>
              <w:rPr>
                <w:rFonts w:ascii="Arial" w:hAnsi="Arial" w:cs="Arial"/>
                <w:color w:val="000000"/>
                <w:sz w:val="16"/>
                <w:szCs w:val="16"/>
              </w:rPr>
            </w:pPr>
            <w:r>
              <w:rPr>
                <w:rFonts w:ascii="Arial" w:hAnsi="Arial" w:cs="Arial"/>
                <w:color w:val="000000"/>
                <w:sz w:val="16"/>
                <w:szCs w:val="16"/>
              </w:rPr>
              <w:t>FBC ,proteinuria ,UE, 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97" w14:textId="77777777" w:rsidR="00D26728" w:rsidRDefault="00D26728">
            <w:pPr>
              <w:rPr>
                <w:rFonts w:ascii="Arial" w:hAnsi="Arial" w:cs="Arial"/>
                <w:color w:val="000000"/>
                <w:sz w:val="16"/>
                <w:szCs w:val="16"/>
              </w:rPr>
            </w:pPr>
            <w:r>
              <w:rPr>
                <w:rFonts w:ascii="Arial" w:hAnsi="Arial" w:cs="Arial"/>
                <w:color w:val="000000"/>
                <w:sz w:val="16"/>
                <w:szCs w:val="16"/>
              </w:rPr>
              <w:t> </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98" w14:textId="77777777" w:rsidR="00D26728" w:rsidRPr="00D26728" w:rsidRDefault="00D26728">
            <w:pPr>
              <w:rPr>
                <w:rFonts w:ascii="Arial" w:hAnsi="Arial" w:cs="Arial"/>
                <w:sz w:val="16"/>
              </w:rPr>
            </w:pPr>
            <w:r w:rsidRPr="00D26728">
              <w:rPr>
                <w:rFonts w:ascii="Arial" w:hAnsi="Arial" w:cs="Arial"/>
                <w:sz w:val="16"/>
              </w:rPr>
              <w:t>Before each injection</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99"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9A" w14:textId="77777777" w:rsidR="00D26728" w:rsidRPr="00D26728" w:rsidRDefault="00D26728">
            <w:pPr>
              <w:rPr>
                <w:rFonts w:ascii="Arial" w:hAnsi="Arial" w:cs="Arial"/>
                <w:sz w:val="16"/>
              </w:rPr>
            </w:pPr>
            <w:r w:rsidRPr="00D26728">
              <w:rPr>
                <w:rFonts w:ascii="Arial" w:hAnsi="Arial" w:cs="Arial"/>
                <w:sz w:val="16"/>
              </w:rPr>
              <w:t>Specialist advice should be sought if necessary.</w:t>
            </w:r>
          </w:p>
        </w:tc>
      </w:tr>
      <w:tr w:rsidR="00D26728" w14:paraId="3AEAD4A3" w14:textId="77777777" w:rsidTr="002772F3">
        <w:trPr>
          <w:trHeight w:val="1696"/>
        </w:trPr>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9C" w14:textId="77777777" w:rsidR="00D26728" w:rsidRPr="00D26728" w:rsidRDefault="00D26728" w:rsidP="00D26728">
            <w:pPr>
              <w:jc w:val="center"/>
              <w:rPr>
                <w:rFonts w:ascii="Arial" w:hAnsi="Arial" w:cs="Arial"/>
                <w:b/>
                <w:bCs/>
                <w:color w:val="000000"/>
                <w:sz w:val="16"/>
              </w:rPr>
            </w:pPr>
            <w:r w:rsidRPr="00D26728">
              <w:rPr>
                <w:rFonts w:ascii="Arial" w:hAnsi="Arial" w:cs="Arial"/>
                <w:b/>
                <w:bCs/>
                <w:color w:val="000000"/>
                <w:sz w:val="16"/>
              </w:rPr>
              <w:t>Statins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9D" w14:textId="77777777" w:rsidR="00D26728" w:rsidRDefault="00D26728">
            <w:pPr>
              <w:rPr>
                <w:rFonts w:ascii="Arial" w:hAnsi="Arial" w:cs="Arial"/>
                <w:color w:val="000000"/>
                <w:sz w:val="16"/>
                <w:szCs w:val="16"/>
              </w:rPr>
            </w:pPr>
            <w:r>
              <w:rPr>
                <w:rFonts w:ascii="Arial" w:hAnsi="Arial" w:cs="Arial"/>
                <w:color w:val="000000"/>
                <w:sz w:val="16"/>
                <w:szCs w:val="16"/>
              </w:rPr>
              <w:t>LIPIDS,LFT, TFT,CPK</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9E" w14:textId="77777777" w:rsidR="00D26728" w:rsidRDefault="00D26728">
            <w:pPr>
              <w:rPr>
                <w:rFonts w:ascii="Arial" w:hAnsi="Arial" w:cs="Arial"/>
                <w:color w:val="000000"/>
                <w:sz w:val="16"/>
                <w:szCs w:val="16"/>
              </w:rPr>
            </w:pPr>
            <w:r>
              <w:rPr>
                <w:rFonts w:ascii="Arial" w:hAnsi="Arial" w:cs="Arial"/>
                <w:color w:val="000000"/>
                <w:sz w:val="16"/>
                <w:szCs w:val="16"/>
              </w:rPr>
              <w:t>LIPIDS,LFT ,CPK</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9F" w14:textId="77777777" w:rsidR="00D26728" w:rsidRDefault="00D26728">
            <w:pPr>
              <w:rPr>
                <w:rFonts w:ascii="Arial" w:hAnsi="Arial" w:cs="Arial"/>
                <w:color w:val="000000"/>
                <w:sz w:val="16"/>
                <w:szCs w:val="16"/>
              </w:rPr>
            </w:pPr>
            <w:r>
              <w:rPr>
                <w:rFonts w:ascii="Arial" w:hAnsi="Arial" w:cs="Arial"/>
                <w:color w:val="000000"/>
                <w:sz w:val="16"/>
                <w:szCs w:val="16"/>
              </w:rPr>
              <w:t>3m then 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A0" w14:textId="77777777" w:rsidR="00D26728" w:rsidRPr="00D26728" w:rsidRDefault="00D26728">
            <w:pPr>
              <w:rPr>
                <w:rFonts w:ascii="Arial" w:hAnsi="Arial" w:cs="Arial"/>
                <w:sz w:val="16"/>
              </w:rPr>
            </w:pPr>
            <w:r w:rsidRPr="00D26728">
              <w:rPr>
                <w:rFonts w:ascii="Arial" w:hAnsi="Arial" w:cs="Arial"/>
                <w:sz w:val="16"/>
              </w:rPr>
              <w:t>LIPIDS, LFT 3 monthly when dose titrating, then annually. CPK in ‘high risk’- with muscle disorders, renal impairment, hypothyroidism, alcohol abuse, fibrates, ciclosporin and some anti-infectives.</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A1" w14:textId="77777777" w:rsidR="00D26728" w:rsidRPr="00D26728" w:rsidRDefault="00D26728">
            <w:pPr>
              <w:rPr>
                <w:rFonts w:ascii="Arial" w:hAnsi="Arial" w:cs="Arial"/>
                <w:sz w:val="16"/>
              </w:rPr>
            </w:pPr>
            <w:r w:rsidRPr="00D26728">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A2" w14:textId="77777777" w:rsidR="00D26728" w:rsidRPr="00D26728" w:rsidRDefault="00D26728">
            <w:pPr>
              <w:rPr>
                <w:rFonts w:ascii="Arial" w:hAnsi="Arial" w:cs="Arial"/>
                <w:sz w:val="16"/>
              </w:rPr>
            </w:pPr>
            <w:r w:rsidRPr="00D26728">
              <w:rPr>
                <w:rFonts w:ascii="Arial" w:hAnsi="Arial" w:cs="Arial"/>
                <w:sz w:val="16"/>
              </w:rPr>
              <w:t>LFT’s sooner if hepatotoxicity suspected.  If titrating to 80mg simvastatin-additional LFT’s after 3 months. Long term LFT’s in atorvastatin SPC. Check CPK if myalgic symptoms develop. Pts must be warned to be aware of pain, tenderness or weakness, malaise, fever or dark urine, especially in early stages of Tx and after dose increases. Dose increases at intervals of at least 4 weeks.</w:t>
            </w:r>
          </w:p>
        </w:tc>
      </w:tr>
      <w:tr w:rsidR="005F0F41" w14:paraId="3AEAD4A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A4" w14:textId="77777777" w:rsidR="005F0F41" w:rsidRPr="005F0F41" w:rsidRDefault="005F0F41" w:rsidP="005F0F41">
            <w:pPr>
              <w:jc w:val="center"/>
              <w:rPr>
                <w:rFonts w:ascii="Arial" w:hAnsi="Arial" w:cs="Arial"/>
                <w:b/>
                <w:bCs/>
                <w:color w:val="000000"/>
                <w:sz w:val="16"/>
              </w:rPr>
            </w:pPr>
            <w:r w:rsidRPr="005F0F41">
              <w:rPr>
                <w:rFonts w:ascii="Arial" w:hAnsi="Arial" w:cs="Arial"/>
                <w:b/>
                <w:bCs/>
                <w:color w:val="000000"/>
                <w:sz w:val="16"/>
              </w:rPr>
              <w:lastRenderedPageBreak/>
              <w:t>Tacrolimus</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A5" w14:textId="77777777" w:rsidR="005F0F41" w:rsidRDefault="005F0F41">
            <w:pPr>
              <w:rPr>
                <w:rFonts w:ascii="Arial" w:hAnsi="Arial" w:cs="Arial"/>
                <w:color w:val="000000"/>
                <w:sz w:val="16"/>
                <w:szCs w:val="16"/>
              </w:rPr>
            </w:pPr>
            <w:r>
              <w:rPr>
                <w:rFonts w:ascii="Arial" w:hAnsi="Arial" w:cs="Arial"/>
                <w:color w:val="000000"/>
                <w:sz w:val="16"/>
                <w:szCs w:val="16"/>
              </w:rPr>
              <w:t>FBC,UE,LFT.BG, ECG</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A6" w14:textId="77777777" w:rsidR="005F0F41" w:rsidRDefault="005F0F41">
            <w:pPr>
              <w:rPr>
                <w:rFonts w:ascii="Arial" w:hAnsi="Arial" w:cs="Arial"/>
                <w:color w:val="000000"/>
                <w:sz w:val="16"/>
                <w:szCs w:val="16"/>
              </w:rPr>
            </w:pPr>
            <w:r>
              <w:rPr>
                <w:rFonts w:ascii="Arial" w:hAnsi="Arial" w:cs="Arial"/>
                <w:color w:val="000000"/>
                <w:sz w:val="16"/>
                <w:szCs w:val="16"/>
              </w:rPr>
              <w:t>FBC,UE,LFT.BG, ECG</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A7" w14:textId="77777777" w:rsidR="005F0F41" w:rsidRDefault="005F0F41">
            <w:pPr>
              <w:rPr>
                <w:rFonts w:ascii="Arial" w:hAnsi="Arial" w:cs="Arial"/>
                <w:color w:val="000000"/>
                <w:sz w:val="16"/>
                <w:szCs w:val="16"/>
              </w:rPr>
            </w:pPr>
            <w:r>
              <w:rPr>
                <w:rFonts w:ascii="Arial" w:hAnsi="Arial" w:cs="Arial"/>
                <w:color w:val="000000"/>
                <w:sz w:val="16"/>
                <w:szCs w:val="16"/>
              </w:rPr>
              <w:t>14d for 12w then 1m for 3m then 3m. LIPIDS 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A8" w14:textId="77777777" w:rsidR="005F0F41" w:rsidRPr="005F0F41" w:rsidRDefault="005F0F41">
            <w:pPr>
              <w:rPr>
                <w:rFonts w:ascii="Arial" w:hAnsi="Arial" w:cs="Arial"/>
                <w:sz w:val="16"/>
              </w:rPr>
            </w:pPr>
            <w:r w:rsidRPr="005F0F41">
              <w:rPr>
                <w:rFonts w:ascii="Arial" w:hAnsi="Arial" w:cs="Arial"/>
                <w:sz w:val="16"/>
              </w:rPr>
              <w:t>(N.B. Echocardiograms are recommended before treatment)</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A9" w14:textId="77777777" w:rsidR="005F0F41" w:rsidRPr="005F0F41" w:rsidRDefault="005F0F41">
            <w:pPr>
              <w:rPr>
                <w:rFonts w:ascii="Arial" w:hAnsi="Arial" w:cs="Arial"/>
                <w:sz w:val="16"/>
              </w:rPr>
            </w:pPr>
            <w:r w:rsidRPr="005F0F41">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AA" w14:textId="77777777" w:rsidR="005F0F41" w:rsidRPr="005F0F41" w:rsidRDefault="005F0F41">
            <w:pPr>
              <w:rPr>
                <w:rFonts w:ascii="Arial" w:hAnsi="Arial" w:cs="Arial"/>
                <w:sz w:val="16"/>
              </w:rPr>
            </w:pPr>
            <w:r w:rsidRPr="005F0F41">
              <w:rPr>
                <w:rFonts w:ascii="Arial" w:hAnsi="Arial" w:cs="Arial"/>
                <w:sz w:val="16"/>
              </w:rPr>
              <w:t>3 different formulations- not safe to switch between them. Immediate release capsules: Prograf (generic form OK) and Adoport dose bd. Prolonged -release capsules: Advagraf dose od.  Granules: Modigraf dose bd</w:t>
            </w:r>
            <w:r>
              <w:rPr>
                <w:rFonts w:ascii="Arial" w:hAnsi="Arial" w:cs="Arial"/>
                <w:sz w:val="16"/>
              </w:rPr>
              <w:t xml:space="preserve">. </w:t>
            </w:r>
            <w:r w:rsidRPr="005F0F41">
              <w:rPr>
                <w:rFonts w:ascii="Arial" w:hAnsi="Arial" w:cs="Arial"/>
                <w:sz w:val="16"/>
              </w:rPr>
              <w:t>Prescribe with full information</w:t>
            </w:r>
          </w:p>
        </w:tc>
      </w:tr>
      <w:tr w:rsidR="005F0F41" w14:paraId="3AEAD4B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AC" w14:textId="77777777" w:rsidR="005F0F41" w:rsidRPr="005F0F41" w:rsidRDefault="005F0F41" w:rsidP="005F0F41">
            <w:pPr>
              <w:jc w:val="center"/>
              <w:rPr>
                <w:rFonts w:ascii="Arial" w:hAnsi="Arial" w:cs="Arial"/>
                <w:b/>
                <w:bCs/>
                <w:color w:val="000000"/>
                <w:sz w:val="16"/>
              </w:rPr>
            </w:pPr>
            <w:r w:rsidRPr="005F0F41">
              <w:rPr>
                <w:rFonts w:ascii="Arial" w:hAnsi="Arial" w:cs="Arial"/>
                <w:b/>
                <w:bCs/>
                <w:color w:val="000000"/>
                <w:sz w:val="16"/>
              </w:rPr>
              <w:t>Theophylline etc</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AD" w14:textId="77777777" w:rsidR="005F0F41" w:rsidRDefault="005F0F41">
            <w:pPr>
              <w:rPr>
                <w:rFonts w:ascii="Arial" w:hAnsi="Arial" w:cs="Arial"/>
                <w:color w:val="000000"/>
                <w:sz w:val="16"/>
                <w:szCs w:val="16"/>
              </w:rPr>
            </w:pPr>
            <w:r>
              <w:rPr>
                <w:rFonts w:ascii="Arial" w:hAnsi="Arial" w:cs="Arial"/>
                <w:color w:val="000000"/>
                <w:sz w:val="16"/>
                <w:szCs w:val="16"/>
              </w:rPr>
              <w:t>UE, 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AE" w14:textId="77777777" w:rsidR="005F0F41" w:rsidRDefault="005F0F41">
            <w:pPr>
              <w:rPr>
                <w:rFonts w:ascii="Arial" w:hAnsi="Arial" w:cs="Arial"/>
                <w:color w:val="000000"/>
                <w:sz w:val="16"/>
                <w:szCs w:val="16"/>
              </w:rPr>
            </w:pPr>
            <w:r>
              <w:rPr>
                <w:rFonts w:ascii="Arial" w:hAnsi="Arial" w:cs="Arial"/>
                <w:color w:val="000000"/>
                <w:sz w:val="16"/>
                <w:szCs w:val="16"/>
              </w:rPr>
              <w:t>Drug levels, UE LFT</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AF" w14:textId="77777777" w:rsidR="005F0F41" w:rsidRDefault="005F0F41">
            <w:pPr>
              <w:rPr>
                <w:rFonts w:ascii="Arial" w:hAnsi="Arial" w:cs="Arial"/>
                <w:color w:val="000000"/>
                <w:sz w:val="16"/>
                <w:szCs w:val="16"/>
              </w:rPr>
            </w:pPr>
            <w:r>
              <w:rPr>
                <w:rFonts w:ascii="Arial" w:hAnsi="Arial" w:cs="Arial"/>
                <w:color w:val="000000"/>
                <w:sz w:val="16"/>
                <w:szCs w:val="16"/>
              </w:rPr>
              <w:t>12m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B0" w14:textId="77777777" w:rsidR="005F0F41" w:rsidRPr="005F0F41" w:rsidRDefault="005F0F41">
            <w:pPr>
              <w:rPr>
                <w:rFonts w:ascii="Arial" w:hAnsi="Arial" w:cs="Arial"/>
                <w:sz w:val="16"/>
              </w:rPr>
            </w:pPr>
            <w:r w:rsidRPr="005F0F41">
              <w:rPr>
                <w:rFonts w:ascii="Arial" w:hAnsi="Arial" w:cs="Arial"/>
                <w:sz w:val="16"/>
              </w:rPr>
              <w:t>Use to check therapeutic levels or suspected toxicity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B1" w14:textId="77777777" w:rsidR="005F0F41" w:rsidRPr="005F0F41" w:rsidRDefault="005F0F41">
            <w:pPr>
              <w:rPr>
                <w:rFonts w:ascii="Arial" w:hAnsi="Arial" w:cs="Arial"/>
                <w:sz w:val="16"/>
              </w:rPr>
            </w:pPr>
            <w:r w:rsidRPr="005F0F41">
              <w:rPr>
                <w:rFonts w:ascii="Arial" w:hAnsi="Arial" w:cs="Arial"/>
                <w:sz w:val="16"/>
              </w:rPr>
              <w:t xml:space="preserve">Useful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B2" w14:textId="77777777" w:rsidR="005F0F41" w:rsidRPr="005F0F41" w:rsidRDefault="005F0F41">
            <w:pPr>
              <w:rPr>
                <w:rFonts w:ascii="Arial" w:hAnsi="Arial" w:cs="Arial"/>
                <w:sz w:val="16"/>
              </w:rPr>
            </w:pPr>
            <w:r w:rsidRPr="005F0F41">
              <w:rPr>
                <w:rFonts w:ascii="Arial" w:hAnsi="Arial" w:cs="Arial"/>
                <w:sz w:val="16"/>
              </w:rPr>
              <w:t>Measure pre-dose trough and/or 8-12 hours post-dose peak.</w:t>
            </w:r>
          </w:p>
        </w:tc>
      </w:tr>
      <w:tr w:rsidR="005F0F41" w14:paraId="3AEAD4B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B4" w14:textId="77777777" w:rsidR="005F0F41" w:rsidRPr="005F0F41" w:rsidRDefault="005F0F41" w:rsidP="005F0F41">
            <w:pPr>
              <w:jc w:val="center"/>
              <w:rPr>
                <w:rFonts w:ascii="Arial" w:hAnsi="Arial" w:cs="Arial"/>
                <w:b/>
                <w:bCs/>
                <w:color w:val="000000"/>
                <w:sz w:val="16"/>
              </w:rPr>
            </w:pPr>
            <w:r w:rsidRPr="005F0F41">
              <w:rPr>
                <w:rFonts w:ascii="Arial" w:hAnsi="Arial" w:cs="Arial"/>
                <w:b/>
                <w:bCs/>
                <w:color w:val="000000"/>
                <w:sz w:val="16"/>
              </w:rPr>
              <w:t>Valproate</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B5" w14:textId="77777777" w:rsidR="005F0F41" w:rsidRDefault="005F0F41">
            <w:pPr>
              <w:rPr>
                <w:rFonts w:ascii="Arial" w:hAnsi="Arial" w:cs="Arial"/>
                <w:color w:val="000000"/>
                <w:sz w:val="16"/>
                <w:szCs w:val="16"/>
              </w:rPr>
            </w:pPr>
            <w:r>
              <w:rPr>
                <w:rFonts w:ascii="Arial" w:hAnsi="Arial" w:cs="Arial"/>
                <w:color w:val="000000"/>
                <w:sz w:val="16"/>
                <w:szCs w:val="16"/>
              </w:rPr>
              <w:t>LFT,FBC,UE, Coag screen</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B6" w14:textId="77777777" w:rsidR="005F0F41" w:rsidRDefault="005F0F41">
            <w:pPr>
              <w:rPr>
                <w:rFonts w:ascii="Arial" w:hAnsi="Arial" w:cs="Arial"/>
                <w:color w:val="000000"/>
                <w:sz w:val="16"/>
                <w:szCs w:val="16"/>
              </w:rPr>
            </w:pPr>
            <w:r>
              <w:rPr>
                <w:rFonts w:ascii="Arial" w:hAnsi="Arial" w:cs="Arial"/>
                <w:color w:val="000000"/>
                <w:sz w:val="16"/>
                <w:szCs w:val="16"/>
              </w:rPr>
              <w:t>LFT, FBC</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B7" w14:textId="77777777" w:rsidR="005F0F41" w:rsidRDefault="005F0F41">
            <w:pPr>
              <w:rPr>
                <w:rFonts w:ascii="Arial" w:hAnsi="Arial" w:cs="Arial"/>
                <w:color w:val="000000"/>
                <w:sz w:val="16"/>
                <w:szCs w:val="16"/>
              </w:rPr>
            </w:pPr>
            <w:r>
              <w:rPr>
                <w:rFonts w:ascii="Arial" w:hAnsi="Arial" w:cs="Arial"/>
                <w:color w:val="000000"/>
                <w:sz w:val="16"/>
                <w:szCs w:val="16"/>
              </w:rPr>
              <w:t>6m</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B8" w14:textId="77777777" w:rsidR="005F0F41" w:rsidRPr="005F0F41" w:rsidRDefault="005F0F41">
            <w:pPr>
              <w:rPr>
                <w:rFonts w:ascii="Arial" w:hAnsi="Arial" w:cs="Arial"/>
                <w:sz w:val="16"/>
              </w:rPr>
            </w:pPr>
            <w:r w:rsidRPr="005F0F41">
              <w:rPr>
                <w:rFonts w:ascii="Arial" w:hAnsi="Arial" w:cs="Arial"/>
                <w:sz w:val="16"/>
              </w:rPr>
              <w:t>LFT’s monthly for 6 months, then annually.  FBC/Coag screen before surgery.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B9" w14:textId="77777777" w:rsidR="005F0F41" w:rsidRPr="005F0F41" w:rsidRDefault="005F0F41">
            <w:pPr>
              <w:rPr>
                <w:rFonts w:ascii="Arial" w:hAnsi="Arial" w:cs="Arial"/>
                <w:sz w:val="16"/>
              </w:rPr>
            </w:pPr>
            <w:r w:rsidRPr="005F0F41">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BA" w14:textId="77777777" w:rsidR="005F0F41" w:rsidRPr="005F0F41" w:rsidRDefault="005F0F41">
            <w:pPr>
              <w:rPr>
                <w:rFonts w:ascii="Arial" w:hAnsi="Arial" w:cs="Arial"/>
                <w:sz w:val="16"/>
              </w:rPr>
            </w:pPr>
            <w:r w:rsidRPr="005F0F41">
              <w:rPr>
                <w:rFonts w:ascii="Arial" w:hAnsi="Arial" w:cs="Arial"/>
                <w:sz w:val="16"/>
              </w:rPr>
              <w:t>Blood levels not clinically useful.  May be of limited use to check compliance. Bleeding time and coagulation tests to ensure no potential for complications.</w:t>
            </w:r>
          </w:p>
        </w:tc>
      </w:tr>
      <w:tr w:rsidR="005F0F41" w14:paraId="3AEAD4C3"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BC" w14:textId="77777777" w:rsidR="005F0F41" w:rsidRPr="005F0F41" w:rsidRDefault="005F0F41" w:rsidP="005F0F41">
            <w:pPr>
              <w:jc w:val="center"/>
              <w:rPr>
                <w:rFonts w:ascii="Arial" w:hAnsi="Arial" w:cs="Arial"/>
                <w:b/>
                <w:bCs/>
                <w:color w:val="000000"/>
                <w:sz w:val="16"/>
              </w:rPr>
            </w:pPr>
            <w:r w:rsidRPr="005F0F41">
              <w:rPr>
                <w:rFonts w:ascii="Arial" w:hAnsi="Arial" w:cs="Arial"/>
                <w:b/>
                <w:bCs/>
                <w:color w:val="000000"/>
                <w:sz w:val="16"/>
              </w:rPr>
              <w:t>Vitamin D</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BD" w14:textId="77777777" w:rsidR="005F0F41" w:rsidRDefault="005F0F41">
            <w:pPr>
              <w:rPr>
                <w:rFonts w:ascii="Arial" w:hAnsi="Arial" w:cs="Arial"/>
                <w:color w:val="000000"/>
                <w:sz w:val="16"/>
                <w:szCs w:val="16"/>
              </w:rPr>
            </w:pPr>
            <w:r>
              <w:rPr>
                <w:rFonts w:ascii="Arial" w:hAnsi="Arial" w:cs="Arial"/>
                <w:color w:val="000000"/>
                <w:sz w:val="16"/>
                <w:szCs w:val="16"/>
              </w:rPr>
              <w:t>See CCG Vit D guidance</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BE" w14:textId="77777777" w:rsidR="005F0F41" w:rsidRDefault="005F0F41">
            <w:pPr>
              <w:rPr>
                <w:rFonts w:ascii="Arial" w:hAnsi="Arial" w:cs="Arial"/>
                <w:color w:val="000000"/>
                <w:sz w:val="16"/>
                <w:szCs w:val="16"/>
              </w:rPr>
            </w:pPr>
            <w:r>
              <w:rPr>
                <w:rFonts w:ascii="Arial" w:hAnsi="Arial" w:cs="Arial"/>
                <w:color w:val="000000"/>
                <w:sz w:val="16"/>
                <w:szCs w:val="16"/>
              </w:rPr>
              <w:t>Bone Profile</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BF" w14:textId="77777777" w:rsidR="005F0F41" w:rsidRDefault="005F0F41">
            <w:pPr>
              <w:rPr>
                <w:rFonts w:ascii="Arial" w:hAnsi="Arial" w:cs="Arial"/>
                <w:color w:val="000000"/>
                <w:sz w:val="16"/>
                <w:szCs w:val="16"/>
              </w:rPr>
            </w:pPr>
            <w:r>
              <w:rPr>
                <w:rFonts w:ascii="Arial" w:hAnsi="Arial" w:cs="Arial"/>
                <w:color w:val="000000"/>
                <w:sz w:val="16"/>
                <w:szCs w:val="16"/>
              </w:rPr>
              <w:t> </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C0" w14:textId="77777777" w:rsidR="005F0F41" w:rsidRPr="005F0F41" w:rsidRDefault="005F0F41">
            <w:pPr>
              <w:rPr>
                <w:rFonts w:ascii="Arial" w:hAnsi="Arial" w:cs="Arial"/>
                <w:sz w:val="16"/>
              </w:rPr>
            </w:pPr>
            <w:r w:rsidRPr="005F0F41">
              <w:rPr>
                <w:rFonts w:ascii="Arial" w:hAnsi="Arial" w:cs="Arial"/>
                <w:sz w:val="16"/>
              </w:rPr>
              <w:t>serum Ca should be checked 1 month after completing loading regimen in patients being treated for deficiency.</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C1" w14:textId="77777777" w:rsidR="005F0F41" w:rsidRPr="005F0F41" w:rsidRDefault="005F0F41">
            <w:pPr>
              <w:rPr>
                <w:rFonts w:ascii="Arial" w:hAnsi="Arial" w:cs="Arial"/>
                <w:sz w:val="16"/>
              </w:rPr>
            </w:pPr>
            <w:r w:rsidRPr="005F0F41">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C2" w14:textId="77777777" w:rsidR="005F0F41" w:rsidRPr="005F0F41" w:rsidRDefault="005F0F41">
            <w:pPr>
              <w:rPr>
                <w:rFonts w:ascii="Arial" w:hAnsi="Arial" w:cs="Arial"/>
                <w:sz w:val="16"/>
              </w:rPr>
            </w:pPr>
            <w:r w:rsidRPr="005F0F41">
              <w:rPr>
                <w:rFonts w:ascii="Arial" w:hAnsi="Arial" w:cs="Arial"/>
                <w:sz w:val="16"/>
              </w:rPr>
              <w:t>Refer to CCG Vitamin D prescribing Guidelines</w:t>
            </w:r>
          </w:p>
        </w:tc>
      </w:tr>
      <w:tr w:rsidR="005F0F41" w14:paraId="3AEAD4CB" w14:textId="77777777" w:rsidTr="002772F3">
        <w:tc>
          <w:tcPr>
            <w:tcW w:w="1772" w:type="dxa"/>
            <w:tcBorders>
              <w:top w:val="single" w:sz="4" w:space="0" w:color="auto"/>
              <w:left w:val="single" w:sz="4" w:space="0" w:color="auto"/>
              <w:bottom w:val="single" w:sz="4" w:space="0" w:color="auto"/>
              <w:right w:val="single" w:sz="4" w:space="0" w:color="auto"/>
            </w:tcBorders>
            <w:shd w:val="clear" w:color="auto" w:fill="FFCCCC"/>
            <w:vAlign w:val="center"/>
          </w:tcPr>
          <w:p w14:paraId="3AEAD4C4" w14:textId="77777777" w:rsidR="005F0F41" w:rsidRPr="005F0F41" w:rsidRDefault="005F0F41" w:rsidP="005F0F41">
            <w:pPr>
              <w:jc w:val="center"/>
              <w:rPr>
                <w:rFonts w:ascii="Arial" w:hAnsi="Arial" w:cs="Arial"/>
                <w:b/>
                <w:bCs/>
                <w:color w:val="000000"/>
                <w:sz w:val="16"/>
              </w:rPr>
            </w:pPr>
            <w:r w:rsidRPr="005F0F41">
              <w:rPr>
                <w:rFonts w:ascii="Arial" w:hAnsi="Arial" w:cs="Arial"/>
                <w:b/>
                <w:bCs/>
                <w:color w:val="000000"/>
                <w:sz w:val="16"/>
              </w:rPr>
              <w:t>Warfarin</w:t>
            </w:r>
          </w:p>
        </w:tc>
        <w:tc>
          <w:tcPr>
            <w:tcW w:w="2377" w:type="dxa"/>
            <w:tcBorders>
              <w:top w:val="single" w:sz="4" w:space="0" w:color="auto"/>
              <w:left w:val="single" w:sz="4" w:space="0" w:color="auto"/>
              <w:bottom w:val="single" w:sz="4" w:space="0" w:color="auto"/>
              <w:right w:val="single" w:sz="4" w:space="0" w:color="auto"/>
            </w:tcBorders>
            <w:shd w:val="clear" w:color="auto" w:fill="FFFF99"/>
            <w:vAlign w:val="center"/>
          </w:tcPr>
          <w:p w14:paraId="3AEAD4C5" w14:textId="77777777" w:rsidR="005F0F41" w:rsidRDefault="005F0F41">
            <w:pPr>
              <w:rPr>
                <w:rFonts w:ascii="Arial" w:hAnsi="Arial" w:cs="Arial"/>
                <w:color w:val="000000"/>
                <w:sz w:val="16"/>
                <w:szCs w:val="16"/>
              </w:rPr>
            </w:pPr>
            <w:r>
              <w:rPr>
                <w:rFonts w:ascii="Arial" w:hAnsi="Arial" w:cs="Arial"/>
                <w:color w:val="000000"/>
                <w:sz w:val="16"/>
                <w:szCs w:val="16"/>
              </w:rPr>
              <w:t>COAG screen, FBC, LFT</w:t>
            </w:r>
          </w:p>
        </w:tc>
        <w:tc>
          <w:tcPr>
            <w:tcW w:w="1204" w:type="dxa"/>
            <w:tcBorders>
              <w:top w:val="single" w:sz="4" w:space="0" w:color="auto"/>
              <w:left w:val="single" w:sz="4" w:space="0" w:color="auto"/>
              <w:bottom w:val="single" w:sz="4" w:space="0" w:color="auto"/>
              <w:right w:val="single" w:sz="4" w:space="0" w:color="auto"/>
            </w:tcBorders>
            <w:shd w:val="clear" w:color="auto" w:fill="FFFF99"/>
            <w:vAlign w:val="center"/>
          </w:tcPr>
          <w:p w14:paraId="3AEAD4C6" w14:textId="77777777" w:rsidR="005F0F41" w:rsidRDefault="005F0F41">
            <w:pPr>
              <w:rPr>
                <w:rFonts w:ascii="Arial" w:hAnsi="Arial" w:cs="Arial"/>
                <w:color w:val="000000"/>
                <w:sz w:val="16"/>
                <w:szCs w:val="16"/>
              </w:rPr>
            </w:pPr>
            <w:r>
              <w:rPr>
                <w:rFonts w:ascii="Arial" w:hAnsi="Arial" w:cs="Arial"/>
                <w:color w:val="000000"/>
                <w:sz w:val="16"/>
                <w:szCs w:val="16"/>
              </w:rPr>
              <w:t>INR as required, FBC, LFT annually</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3AEAD4C7" w14:textId="77777777" w:rsidR="005F0F41" w:rsidRDefault="005F0F41">
            <w:pPr>
              <w:rPr>
                <w:rFonts w:ascii="Arial" w:hAnsi="Arial" w:cs="Arial"/>
                <w:color w:val="000000"/>
                <w:sz w:val="16"/>
                <w:szCs w:val="16"/>
              </w:rPr>
            </w:pPr>
            <w:r>
              <w:rPr>
                <w:rFonts w:ascii="Arial" w:hAnsi="Arial" w:cs="Arial"/>
                <w:color w:val="000000"/>
                <w:sz w:val="16"/>
                <w:szCs w:val="16"/>
              </w:rPr>
              <w:t>as per INR star</w:t>
            </w:r>
          </w:p>
        </w:tc>
        <w:tc>
          <w:tcPr>
            <w:tcW w:w="3258" w:type="dxa"/>
            <w:tcBorders>
              <w:top w:val="single" w:sz="4" w:space="0" w:color="auto"/>
              <w:left w:val="single" w:sz="4" w:space="0" w:color="auto"/>
              <w:bottom w:val="single" w:sz="4" w:space="0" w:color="auto"/>
              <w:right w:val="single" w:sz="4" w:space="0" w:color="auto"/>
            </w:tcBorders>
            <w:shd w:val="clear" w:color="auto" w:fill="FFFF99"/>
          </w:tcPr>
          <w:p w14:paraId="3AEAD4C8" w14:textId="77777777" w:rsidR="005F0F41" w:rsidRPr="005F0F41" w:rsidRDefault="005F0F41">
            <w:pPr>
              <w:rPr>
                <w:rFonts w:ascii="Arial" w:hAnsi="Arial" w:cs="Arial"/>
                <w:sz w:val="16"/>
              </w:rPr>
            </w:pPr>
            <w:r w:rsidRPr="005F0F41">
              <w:rPr>
                <w:rFonts w:ascii="Arial" w:hAnsi="Arial" w:cs="Arial"/>
                <w:sz w:val="16"/>
              </w:rPr>
              <w:t>Daily or alternate days initially, then at longer intervals (depending on response). At least every 12 weeks on long-term Tx. And within a week if patients treated with antibiotics or new medicines known to interact with warfarin</w:t>
            </w:r>
          </w:p>
        </w:tc>
        <w:tc>
          <w:tcPr>
            <w:tcW w:w="1060" w:type="dxa"/>
            <w:tcBorders>
              <w:top w:val="single" w:sz="4" w:space="0" w:color="auto"/>
              <w:left w:val="single" w:sz="4" w:space="0" w:color="auto"/>
              <w:bottom w:val="single" w:sz="4" w:space="0" w:color="auto"/>
              <w:right w:val="single" w:sz="4" w:space="0" w:color="auto"/>
            </w:tcBorders>
            <w:shd w:val="clear" w:color="auto" w:fill="FFFF99"/>
          </w:tcPr>
          <w:p w14:paraId="3AEAD4C9" w14:textId="77777777" w:rsidR="005F0F41" w:rsidRPr="005F0F41" w:rsidRDefault="005F0F41">
            <w:pPr>
              <w:rPr>
                <w:rFonts w:ascii="Arial" w:hAnsi="Arial" w:cs="Arial"/>
                <w:sz w:val="16"/>
              </w:rPr>
            </w:pPr>
            <w:r w:rsidRPr="005F0F41">
              <w:rPr>
                <w:rFonts w:ascii="Arial" w:hAnsi="Arial" w:cs="Arial"/>
                <w:sz w:val="16"/>
              </w:rPr>
              <w:t> </w:t>
            </w:r>
          </w:p>
        </w:tc>
        <w:tc>
          <w:tcPr>
            <w:tcW w:w="4973" w:type="dxa"/>
            <w:tcBorders>
              <w:top w:val="single" w:sz="4" w:space="0" w:color="auto"/>
              <w:left w:val="single" w:sz="4" w:space="0" w:color="auto"/>
              <w:bottom w:val="single" w:sz="4" w:space="0" w:color="auto"/>
              <w:right w:val="single" w:sz="4" w:space="0" w:color="auto"/>
            </w:tcBorders>
            <w:shd w:val="clear" w:color="auto" w:fill="FFFF99"/>
          </w:tcPr>
          <w:p w14:paraId="3AEAD4CA" w14:textId="77777777" w:rsidR="005F0F41" w:rsidRPr="005F0F41" w:rsidRDefault="005F0F41">
            <w:pPr>
              <w:rPr>
                <w:rFonts w:ascii="Arial" w:hAnsi="Arial" w:cs="Arial"/>
                <w:sz w:val="16"/>
              </w:rPr>
            </w:pPr>
            <w:r w:rsidRPr="005F0F41">
              <w:rPr>
                <w:rFonts w:ascii="Arial" w:hAnsi="Arial" w:cs="Arial"/>
                <w:sz w:val="16"/>
              </w:rPr>
              <w:t>INR should be monitored more frequently in patients at risk of over coagulation e.g. patients with severe hypertension, liver, renal disease or have current illness, adherence problems, have major dietary/ alcohol changes or taking drugs. Refer to the BNF when adding or stopping a drug (as they may interact. Repeat INR one week afterwards) N.B.INR Star does not take illness into consideration.</w:t>
            </w:r>
          </w:p>
        </w:tc>
      </w:tr>
    </w:tbl>
    <w:p w14:paraId="3AEAD4CC" w14:textId="77777777" w:rsidR="00402DFC" w:rsidRDefault="00402DFC">
      <w:pPr>
        <w:pStyle w:val="Heading2"/>
        <w:rPr>
          <w:rFonts w:ascii="Arial" w:hAnsi="Arial" w:cs="Arial"/>
          <w:color w:val="0000FF"/>
          <w:sz w:val="18"/>
        </w:rPr>
      </w:pPr>
    </w:p>
    <w:p w14:paraId="3AEAD4CD" w14:textId="77777777" w:rsidR="00563F9E" w:rsidRDefault="00563F9E" w:rsidP="00563F9E"/>
    <w:p w14:paraId="3AEAD4CE" w14:textId="77777777" w:rsidR="00563F9E" w:rsidRDefault="00563F9E" w:rsidP="00563F9E"/>
    <w:p w14:paraId="3AEAD4CF" w14:textId="77777777" w:rsidR="00563F9E" w:rsidRDefault="00563F9E" w:rsidP="00563F9E"/>
    <w:p w14:paraId="3AEAD4D0" w14:textId="77777777" w:rsidR="00563F9E" w:rsidRDefault="00563F9E" w:rsidP="00563F9E"/>
    <w:p w14:paraId="3AEAD4D1" w14:textId="77777777" w:rsidR="00563F9E" w:rsidRDefault="00563F9E" w:rsidP="00563F9E"/>
    <w:p w14:paraId="3AEAD4D2" w14:textId="77777777" w:rsidR="00563F9E" w:rsidRDefault="00563F9E" w:rsidP="00563F9E"/>
    <w:p w14:paraId="3AEAD4D3" w14:textId="77777777" w:rsidR="00563F9E" w:rsidRDefault="00563F9E" w:rsidP="00563F9E"/>
    <w:sectPr w:rsidR="00563F9E" w:rsidSect="0097088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227" w:right="567" w:bottom="227"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A82B" w14:textId="77777777" w:rsidR="00E00A35" w:rsidRDefault="00E00A35">
      <w:r>
        <w:separator/>
      </w:r>
    </w:p>
  </w:endnote>
  <w:endnote w:type="continuationSeparator" w:id="0">
    <w:p w14:paraId="0B6FC7BA" w14:textId="77777777" w:rsidR="00E00A35" w:rsidRDefault="00E0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4DC" w14:textId="77777777" w:rsidR="008039AC" w:rsidRDefault="0080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4DD" w14:textId="77777777" w:rsidR="008039AC" w:rsidRPr="004F7F0A" w:rsidRDefault="008039AC" w:rsidP="004F7F0A">
    <w:pPr>
      <w:pStyle w:val="Footer"/>
      <w:rPr>
        <w:sz w:val="16"/>
      </w:rPr>
    </w:pPr>
    <w:r>
      <w:rPr>
        <w:rFonts w:ascii="Arial" w:hAnsi="Arial" w:cs="Arial"/>
        <w:sz w:val="16"/>
        <w:szCs w:val="20"/>
      </w:rPr>
      <w:t xml:space="preserve">       Original updated and approved</w:t>
    </w:r>
    <w:r w:rsidR="00F61F66">
      <w:rPr>
        <w:rFonts w:ascii="Arial" w:hAnsi="Arial" w:cs="Arial"/>
        <w:sz w:val="16"/>
        <w:szCs w:val="20"/>
      </w:rPr>
      <w:t xml:space="preserve"> by DGS CCG clinical cabinet</w:t>
    </w:r>
    <w:r>
      <w:rPr>
        <w:rFonts w:ascii="Arial" w:hAnsi="Arial" w:cs="Arial"/>
        <w:sz w:val="16"/>
        <w:szCs w:val="20"/>
      </w:rPr>
      <w:t xml:space="preserve">:   </w:t>
    </w:r>
    <w:r w:rsidR="00F61F66">
      <w:rPr>
        <w:rFonts w:ascii="Arial" w:hAnsi="Arial" w:cs="Arial"/>
        <w:sz w:val="16"/>
        <w:szCs w:val="20"/>
      </w:rPr>
      <w:t xml:space="preserve">August </w:t>
    </w:r>
    <w:r>
      <w:rPr>
        <w:rFonts w:ascii="Arial" w:hAnsi="Arial" w:cs="Arial"/>
        <w:sz w:val="16"/>
        <w:szCs w:val="20"/>
      </w:rPr>
      <w:t xml:space="preserve">2016                    Review date: </w:t>
    </w:r>
    <w:r w:rsidR="00F61F66">
      <w:rPr>
        <w:rFonts w:ascii="Arial" w:hAnsi="Arial" w:cs="Arial"/>
        <w:sz w:val="16"/>
        <w:szCs w:val="20"/>
      </w:rPr>
      <w:t>August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4DF" w14:textId="77777777" w:rsidR="008039AC" w:rsidRDefault="0080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62D1" w14:textId="77777777" w:rsidR="00E00A35" w:rsidRDefault="00E00A35">
      <w:r>
        <w:separator/>
      </w:r>
    </w:p>
  </w:footnote>
  <w:footnote w:type="continuationSeparator" w:id="0">
    <w:p w14:paraId="1C0EA0A8" w14:textId="77777777" w:rsidR="00E00A35" w:rsidRDefault="00E0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4DA" w14:textId="77777777" w:rsidR="008039AC" w:rsidRDefault="00803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35628"/>
      <w:docPartObj>
        <w:docPartGallery w:val="Watermarks"/>
        <w:docPartUnique/>
      </w:docPartObj>
    </w:sdtPr>
    <w:sdtEndPr/>
    <w:sdtContent>
      <w:p w14:paraId="3AEAD4DB" w14:textId="77777777" w:rsidR="008039AC" w:rsidRDefault="00E00A35">
        <w:pPr>
          <w:pStyle w:val="Header"/>
        </w:pPr>
        <w:r>
          <w:rPr>
            <w:noProof/>
            <w:lang w:val="en-US" w:eastAsia="zh-TW"/>
          </w:rPr>
          <w:pict w14:anchorId="3AEAD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4DE" w14:textId="77777777" w:rsidR="008039AC" w:rsidRDefault="0080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38F1"/>
    <w:multiLevelType w:val="multilevel"/>
    <w:tmpl w:val="6624D2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3D"/>
    <w:rsid w:val="00000191"/>
    <w:rsid w:val="0000307C"/>
    <w:rsid w:val="00025258"/>
    <w:rsid w:val="00026D44"/>
    <w:rsid w:val="0003455C"/>
    <w:rsid w:val="000364F2"/>
    <w:rsid w:val="000423BB"/>
    <w:rsid w:val="00043A0C"/>
    <w:rsid w:val="00051C52"/>
    <w:rsid w:val="0005307F"/>
    <w:rsid w:val="00055C4D"/>
    <w:rsid w:val="00056F41"/>
    <w:rsid w:val="00073EFF"/>
    <w:rsid w:val="000823E3"/>
    <w:rsid w:val="000827DB"/>
    <w:rsid w:val="00091FEB"/>
    <w:rsid w:val="000B5F46"/>
    <w:rsid w:val="000F3A17"/>
    <w:rsid w:val="001072C2"/>
    <w:rsid w:val="00163206"/>
    <w:rsid w:val="00173B46"/>
    <w:rsid w:val="00183669"/>
    <w:rsid w:val="001848BA"/>
    <w:rsid w:val="00186F9D"/>
    <w:rsid w:val="00187812"/>
    <w:rsid w:val="0019240A"/>
    <w:rsid w:val="001C12FD"/>
    <w:rsid w:val="001C3937"/>
    <w:rsid w:val="001C74F2"/>
    <w:rsid w:val="001D2162"/>
    <w:rsid w:val="001D4235"/>
    <w:rsid w:val="001D59B3"/>
    <w:rsid w:val="001E012B"/>
    <w:rsid w:val="001E5363"/>
    <w:rsid w:val="001F7A0A"/>
    <w:rsid w:val="00200025"/>
    <w:rsid w:val="00210929"/>
    <w:rsid w:val="0021403C"/>
    <w:rsid w:val="00222D87"/>
    <w:rsid w:val="00250B1F"/>
    <w:rsid w:val="00253127"/>
    <w:rsid w:val="00275FE8"/>
    <w:rsid w:val="002772F3"/>
    <w:rsid w:val="002805DF"/>
    <w:rsid w:val="002828BD"/>
    <w:rsid w:val="0029231D"/>
    <w:rsid w:val="00295693"/>
    <w:rsid w:val="002A2CD4"/>
    <w:rsid w:val="002B15F2"/>
    <w:rsid w:val="002B2AFA"/>
    <w:rsid w:val="002C2577"/>
    <w:rsid w:val="002D40E5"/>
    <w:rsid w:val="002E2AEC"/>
    <w:rsid w:val="002E387F"/>
    <w:rsid w:val="002E4AD6"/>
    <w:rsid w:val="002F401B"/>
    <w:rsid w:val="002F42C0"/>
    <w:rsid w:val="00312103"/>
    <w:rsid w:val="003220DF"/>
    <w:rsid w:val="003263E7"/>
    <w:rsid w:val="00345567"/>
    <w:rsid w:val="00365E70"/>
    <w:rsid w:val="003B42C5"/>
    <w:rsid w:val="003B6D90"/>
    <w:rsid w:val="003C728F"/>
    <w:rsid w:val="003D0D74"/>
    <w:rsid w:val="003F634C"/>
    <w:rsid w:val="003F77FA"/>
    <w:rsid w:val="004017F5"/>
    <w:rsid w:val="00401B8F"/>
    <w:rsid w:val="00402DFC"/>
    <w:rsid w:val="00403FC9"/>
    <w:rsid w:val="00405466"/>
    <w:rsid w:val="0041298F"/>
    <w:rsid w:val="0042716F"/>
    <w:rsid w:val="00432FDC"/>
    <w:rsid w:val="00434B3F"/>
    <w:rsid w:val="00434DC6"/>
    <w:rsid w:val="00452183"/>
    <w:rsid w:val="00464E53"/>
    <w:rsid w:val="00466E53"/>
    <w:rsid w:val="00476A10"/>
    <w:rsid w:val="00480F98"/>
    <w:rsid w:val="00481462"/>
    <w:rsid w:val="004B2926"/>
    <w:rsid w:val="004B525E"/>
    <w:rsid w:val="004C745E"/>
    <w:rsid w:val="004D38ED"/>
    <w:rsid w:val="004E1FB4"/>
    <w:rsid w:val="004E5349"/>
    <w:rsid w:val="004E7E3A"/>
    <w:rsid w:val="004F5491"/>
    <w:rsid w:val="004F7F0A"/>
    <w:rsid w:val="00511C0E"/>
    <w:rsid w:val="00520FE9"/>
    <w:rsid w:val="00523A33"/>
    <w:rsid w:val="005254AC"/>
    <w:rsid w:val="00537864"/>
    <w:rsid w:val="00546942"/>
    <w:rsid w:val="00563F9E"/>
    <w:rsid w:val="0056694C"/>
    <w:rsid w:val="00572B91"/>
    <w:rsid w:val="0057300A"/>
    <w:rsid w:val="00574289"/>
    <w:rsid w:val="005750FA"/>
    <w:rsid w:val="00582451"/>
    <w:rsid w:val="00582929"/>
    <w:rsid w:val="00583F23"/>
    <w:rsid w:val="00587DB0"/>
    <w:rsid w:val="005C45B2"/>
    <w:rsid w:val="005D201D"/>
    <w:rsid w:val="005D413D"/>
    <w:rsid w:val="005E5C37"/>
    <w:rsid w:val="005F0F41"/>
    <w:rsid w:val="005F69D3"/>
    <w:rsid w:val="00616F45"/>
    <w:rsid w:val="00627600"/>
    <w:rsid w:val="00646BE0"/>
    <w:rsid w:val="00666D97"/>
    <w:rsid w:val="00667A22"/>
    <w:rsid w:val="00670379"/>
    <w:rsid w:val="006A11EF"/>
    <w:rsid w:val="006B17D0"/>
    <w:rsid w:val="006B6D11"/>
    <w:rsid w:val="006C07CE"/>
    <w:rsid w:val="006D20D5"/>
    <w:rsid w:val="006D2A4B"/>
    <w:rsid w:val="006D55BD"/>
    <w:rsid w:val="006D5ABF"/>
    <w:rsid w:val="006F31B4"/>
    <w:rsid w:val="00703570"/>
    <w:rsid w:val="00703A0B"/>
    <w:rsid w:val="00711D74"/>
    <w:rsid w:val="007220E4"/>
    <w:rsid w:val="00734A2C"/>
    <w:rsid w:val="0074158B"/>
    <w:rsid w:val="007557E1"/>
    <w:rsid w:val="007558A0"/>
    <w:rsid w:val="00760EC9"/>
    <w:rsid w:val="00764BFB"/>
    <w:rsid w:val="00770DEE"/>
    <w:rsid w:val="00776F10"/>
    <w:rsid w:val="00780582"/>
    <w:rsid w:val="00782EA5"/>
    <w:rsid w:val="007A43DA"/>
    <w:rsid w:val="007B67AE"/>
    <w:rsid w:val="007D4D6D"/>
    <w:rsid w:val="007F02C4"/>
    <w:rsid w:val="007F63B5"/>
    <w:rsid w:val="00800AC3"/>
    <w:rsid w:val="00800BB6"/>
    <w:rsid w:val="008039AC"/>
    <w:rsid w:val="00807718"/>
    <w:rsid w:val="00820B62"/>
    <w:rsid w:val="00827318"/>
    <w:rsid w:val="00831F43"/>
    <w:rsid w:val="00862E6A"/>
    <w:rsid w:val="00863010"/>
    <w:rsid w:val="008665EC"/>
    <w:rsid w:val="00872C47"/>
    <w:rsid w:val="0087375D"/>
    <w:rsid w:val="0087591F"/>
    <w:rsid w:val="00875F05"/>
    <w:rsid w:val="00891C6A"/>
    <w:rsid w:val="008A03D9"/>
    <w:rsid w:val="008B1181"/>
    <w:rsid w:val="008D190B"/>
    <w:rsid w:val="008D7CC8"/>
    <w:rsid w:val="008E4B2D"/>
    <w:rsid w:val="008F2FB2"/>
    <w:rsid w:val="00901976"/>
    <w:rsid w:val="00916E20"/>
    <w:rsid w:val="0092165A"/>
    <w:rsid w:val="00925BD9"/>
    <w:rsid w:val="00937E7F"/>
    <w:rsid w:val="00943C9C"/>
    <w:rsid w:val="009534DD"/>
    <w:rsid w:val="009550E5"/>
    <w:rsid w:val="009617A9"/>
    <w:rsid w:val="00963DFF"/>
    <w:rsid w:val="0097088A"/>
    <w:rsid w:val="00971363"/>
    <w:rsid w:val="00974E60"/>
    <w:rsid w:val="00987343"/>
    <w:rsid w:val="009942B3"/>
    <w:rsid w:val="0099608C"/>
    <w:rsid w:val="009A0DBC"/>
    <w:rsid w:val="009B75F6"/>
    <w:rsid w:val="009D2493"/>
    <w:rsid w:val="009E2752"/>
    <w:rsid w:val="009E3780"/>
    <w:rsid w:val="009F3E57"/>
    <w:rsid w:val="00A11BEC"/>
    <w:rsid w:val="00A63AE6"/>
    <w:rsid w:val="00A75DC5"/>
    <w:rsid w:val="00A8229F"/>
    <w:rsid w:val="00A84BE2"/>
    <w:rsid w:val="00A91CD5"/>
    <w:rsid w:val="00A97E66"/>
    <w:rsid w:val="00AC362B"/>
    <w:rsid w:val="00AC53EC"/>
    <w:rsid w:val="00AC71A1"/>
    <w:rsid w:val="00AC7ADA"/>
    <w:rsid w:val="00AD2FC8"/>
    <w:rsid w:val="00AE0143"/>
    <w:rsid w:val="00AE291B"/>
    <w:rsid w:val="00AE4C75"/>
    <w:rsid w:val="00B038F8"/>
    <w:rsid w:val="00B12F5F"/>
    <w:rsid w:val="00B15398"/>
    <w:rsid w:val="00B25C6F"/>
    <w:rsid w:val="00B320A2"/>
    <w:rsid w:val="00B6718A"/>
    <w:rsid w:val="00B825BD"/>
    <w:rsid w:val="00B93698"/>
    <w:rsid w:val="00BA0892"/>
    <w:rsid w:val="00BA3C9A"/>
    <w:rsid w:val="00BC1E1E"/>
    <w:rsid w:val="00BD0D5B"/>
    <w:rsid w:val="00BD1EED"/>
    <w:rsid w:val="00BF1D51"/>
    <w:rsid w:val="00BF7421"/>
    <w:rsid w:val="00C22AF6"/>
    <w:rsid w:val="00C339E4"/>
    <w:rsid w:val="00C33D70"/>
    <w:rsid w:val="00C366D5"/>
    <w:rsid w:val="00C418D6"/>
    <w:rsid w:val="00C43241"/>
    <w:rsid w:val="00C46693"/>
    <w:rsid w:val="00C5459B"/>
    <w:rsid w:val="00C57CF2"/>
    <w:rsid w:val="00C611C1"/>
    <w:rsid w:val="00C71BB0"/>
    <w:rsid w:val="00C76DBB"/>
    <w:rsid w:val="00C870C1"/>
    <w:rsid w:val="00CA65AE"/>
    <w:rsid w:val="00CB0D54"/>
    <w:rsid w:val="00CB7374"/>
    <w:rsid w:val="00CC5296"/>
    <w:rsid w:val="00CE3CE1"/>
    <w:rsid w:val="00CF3DE1"/>
    <w:rsid w:val="00D042BB"/>
    <w:rsid w:val="00D11785"/>
    <w:rsid w:val="00D12D57"/>
    <w:rsid w:val="00D16EA1"/>
    <w:rsid w:val="00D17079"/>
    <w:rsid w:val="00D26728"/>
    <w:rsid w:val="00D3044A"/>
    <w:rsid w:val="00D31BFE"/>
    <w:rsid w:val="00D45A05"/>
    <w:rsid w:val="00D54482"/>
    <w:rsid w:val="00D61471"/>
    <w:rsid w:val="00D61971"/>
    <w:rsid w:val="00D702AA"/>
    <w:rsid w:val="00D738B4"/>
    <w:rsid w:val="00D93299"/>
    <w:rsid w:val="00D9351C"/>
    <w:rsid w:val="00D93712"/>
    <w:rsid w:val="00DD27FA"/>
    <w:rsid w:val="00DD3470"/>
    <w:rsid w:val="00DE2E38"/>
    <w:rsid w:val="00E00A35"/>
    <w:rsid w:val="00E03FE2"/>
    <w:rsid w:val="00E06AB1"/>
    <w:rsid w:val="00E1682B"/>
    <w:rsid w:val="00E45A4A"/>
    <w:rsid w:val="00E51F19"/>
    <w:rsid w:val="00E552F9"/>
    <w:rsid w:val="00E55D2A"/>
    <w:rsid w:val="00E664B2"/>
    <w:rsid w:val="00E6685A"/>
    <w:rsid w:val="00E749B5"/>
    <w:rsid w:val="00E750DE"/>
    <w:rsid w:val="00E83023"/>
    <w:rsid w:val="00E90B7C"/>
    <w:rsid w:val="00E97558"/>
    <w:rsid w:val="00EA0BA1"/>
    <w:rsid w:val="00EA6987"/>
    <w:rsid w:val="00EC457C"/>
    <w:rsid w:val="00EC6439"/>
    <w:rsid w:val="00ED4BDD"/>
    <w:rsid w:val="00ED7144"/>
    <w:rsid w:val="00EE0462"/>
    <w:rsid w:val="00EE2F10"/>
    <w:rsid w:val="00EE64D5"/>
    <w:rsid w:val="00EF0970"/>
    <w:rsid w:val="00EF3767"/>
    <w:rsid w:val="00F00ECB"/>
    <w:rsid w:val="00F028B6"/>
    <w:rsid w:val="00F16207"/>
    <w:rsid w:val="00F20F00"/>
    <w:rsid w:val="00F30B04"/>
    <w:rsid w:val="00F32645"/>
    <w:rsid w:val="00F42D79"/>
    <w:rsid w:val="00F51926"/>
    <w:rsid w:val="00F5708B"/>
    <w:rsid w:val="00F612BB"/>
    <w:rsid w:val="00F61F66"/>
    <w:rsid w:val="00F66091"/>
    <w:rsid w:val="00F70B44"/>
    <w:rsid w:val="00F74659"/>
    <w:rsid w:val="00F83E7A"/>
    <w:rsid w:val="00F847E7"/>
    <w:rsid w:val="00F87BF4"/>
    <w:rsid w:val="00F92FA2"/>
    <w:rsid w:val="00F9483D"/>
    <w:rsid w:val="00F977BD"/>
    <w:rsid w:val="00FA2961"/>
    <w:rsid w:val="00FA29E9"/>
    <w:rsid w:val="00FA3768"/>
    <w:rsid w:val="00FB77FF"/>
    <w:rsid w:val="00FC1FB6"/>
    <w:rsid w:val="00FC213A"/>
    <w:rsid w:val="00FC548F"/>
    <w:rsid w:val="00FD35B0"/>
    <w:rsid w:val="00FD4A87"/>
    <w:rsid w:val="00FD7F98"/>
    <w:rsid w:val="00FF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EA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ind w:left="-122" w:firstLine="122"/>
      <w:outlineLvl w:val="4"/>
    </w:pPr>
    <w:rPr>
      <w:b/>
      <w:bCs/>
      <w:color w:val="339966"/>
      <w:sz w:val="18"/>
    </w:rPr>
  </w:style>
  <w:style w:type="paragraph" w:styleId="Heading6">
    <w:name w:val="heading 6"/>
    <w:basedOn w:val="Normal"/>
    <w:next w:val="Normal"/>
    <w:qFormat/>
    <w:pPr>
      <w:keepNext/>
      <w:outlineLvl w:val="5"/>
    </w:pPr>
    <w:rPr>
      <w:b/>
      <w:bCs/>
      <w:color w:val="339966"/>
      <w:sz w:val="18"/>
    </w:rPr>
  </w:style>
  <w:style w:type="paragraph" w:styleId="Heading7">
    <w:name w:val="heading 7"/>
    <w:basedOn w:val="Normal"/>
    <w:next w:val="Normal"/>
    <w:qFormat/>
    <w:pPr>
      <w:keepNext/>
      <w:outlineLvl w:val="6"/>
    </w:pPr>
    <w:rPr>
      <w:b/>
      <w:bCs/>
      <w:color w:val="FF0000"/>
      <w:sz w:val="18"/>
    </w:rPr>
  </w:style>
  <w:style w:type="paragraph" w:styleId="Heading8">
    <w:name w:val="heading 8"/>
    <w:basedOn w:val="Normal"/>
    <w:next w:val="Normal"/>
    <w:qFormat/>
    <w:pPr>
      <w:keepNext/>
      <w:outlineLvl w:val="7"/>
    </w:pPr>
    <w:rPr>
      <w:b/>
      <w:bCs/>
      <w:sz w:val="18"/>
    </w:rPr>
  </w:style>
  <w:style w:type="paragraph" w:styleId="Heading9">
    <w:name w:val="heading 9"/>
    <w:basedOn w:val="Normal"/>
    <w:next w:val="Normal"/>
    <w:qFormat/>
    <w:pPr>
      <w:keepNext/>
      <w:ind w:left="-108" w:firstLine="108"/>
      <w:outlineLvl w:val="8"/>
    </w:pPr>
    <w:rPr>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66"/>
      </w:tabs>
    </w:pPr>
    <w:rPr>
      <w:rFonts w:ascii="Arial" w:hAnsi="Arial" w:cs="Arial"/>
      <w:sz w:val="16"/>
    </w:rPr>
  </w:style>
  <w:style w:type="paragraph" w:styleId="BodyText2">
    <w:name w:val="Body Text 2"/>
    <w:basedOn w:val="Normal"/>
    <w:rPr>
      <w:rFonts w:ascii="Arial" w:hAnsi="Arial" w:cs="Arial"/>
      <w:b/>
      <w:bCs/>
      <w:sz w:val="16"/>
    </w:rPr>
  </w:style>
  <w:style w:type="paragraph" w:styleId="BalloonText">
    <w:name w:val="Balloon Text"/>
    <w:basedOn w:val="Normal"/>
    <w:semiHidden/>
    <w:rsid w:val="004E7E3A"/>
    <w:rPr>
      <w:rFonts w:ascii="Tahoma" w:hAnsi="Tahoma" w:cs="Tahoma"/>
      <w:sz w:val="16"/>
      <w:szCs w:val="16"/>
    </w:rPr>
  </w:style>
  <w:style w:type="character" w:styleId="CommentReference">
    <w:name w:val="annotation reference"/>
    <w:semiHidden/>
    <w:rsid w:val="004E7E3A"/>
    <w:rPr>
      <w:sz w:val="16"/>
      <w:szCs w:val="16"/>
    </w:rPr>
  </w:style>
  <w:style w:type="paragraph" w:styleId="CommentText">
    <w:name w:val="annotation text"/>
    <w:basedOn w:val="Normal"/>
    <w:link w:val="CommentTextChar"/>
    <w:semiHidden/>
    <w:rsid w:val="004E7E3A"/>
    <w:rPr>
      <w:sz w:val="20"/>
      <w:szCs w:val="20"/>
    </w:rPr>
  </w:style>
  <w:style w:type="paragraph" w:styleId="CommentSubject">
    <w:name w:val="annotation subject"/>
    <w:basedOn w:val="CommentText"/>
    <w:next w:val="CommentText"/>
    <w:semiHidden/>
    <w:rsid w:val="004E7E3A"/>
    <w:rPr>
      <w:b/>
      <w:bCs/>
    </w:rPr>
  </w:style>
  <w:style w:type="paragraph" w:customStyle="1" w:styleId="Default">
    <w:name w:val="Default"/>
    <w:rsid w:val="00E55D2A"/>
    <w:pPr>
      <w:autoSpaceDE w:val="0"/>
      <w:autoSpaceDN w:val="0"/>
      <w:adjustRightInd w:val="0"/>
    </w:pPr>
    <w:rPr>
      <w:color w:val="000000"/>
      <w:sz w:val="24"/>
      <w:szCs w:val="24"/>
    </w:rPr>
  </w:style>
  <w:style w:type="character" w:customStyle="1" w:styleId="CommentTextChar">
    <w:name w:val="Comment Text Char"/>
    <w:link w:val="CommentText"/>
    <w:semiHidden/>
    <w:rsid w:val="00F612BB"/>
    <w:rPr>
      <w:lang w:eastAsia="en-US"/>
    </w:rPr>
  </w:style>
  <w:style w:type="paragraph" w:styleId="Revision">
    <w:name w:val="Revision"/>
    <w:hidden/>
    <w:uiPriority w:val="99"/>
    <w:semiHidden/>
    <w:rsid w:val="006B6D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ind w:left="-122" w:firstLine="122"/>
      <w:outlineLvl w:val="4"/>
    </w:pPr>
    <w:rPr>
      <w:b/>
      <w:bCs/>
      <w:color w:val="339966"/>
      <w:sz w:val="18"/>
    </w:rPr>
  </w:style>
  <w:style w:type="paragraph" w:styleId="Heading6">
    <w:name w:val="heading 6"/>
    <w:basedOn w:val="Normal"/>
    <w:next w:val="Normal"/>
    <w:qFormat/>
    <w:pPr>
      <w:keepNext/>
      <w:outlineLvl w:val="5"/>
    </w:pPr>
    <w:rPr>
      <w:b/>
      <w:bCs/>
      <w:color w:val="339966"/>
      <w:sz w:val="18"/>
    </w:rPr>
  </w:style>
  <w:style w:type="paragraph" w:styleId="Heading7">
    <w:name w:val="heading 7"/>
    <w:basedOn w:val="Normal"/>
    <w:next w:val="Normal"/>
    <w:qFormat/>
    <w:pPr>
      <w:keepNext/>
      <w:outlineLvl w:val="6"/>
    </w:pPr>
    <w:rPr>
      <w:b/>
      <w:bCs/>
      <w:color w:val="FF0000"/>
      <w:sz w:val="18"/>
    </w:rPr>
  </w:style>
  <w:style w:type="paragraph" w:styleId="Heading8">
    <w:name w:val="heading 8"/>
    <w:basedOn w:val="Normal"/>
    <w:next w:val="Normal"/>
    <w:qFormat/>
    <w:pPr>
      <w:keepNext/>
      <w:outlineLvl w:val="7"/>
    </w:pPr>
    <w:rPr>
      <w:b/>
      <w:bCs/>
      <w:sz w:val="18"/>
    </w:rPr>
  </w:style>
  <w:style w:type="paragraph" w:styleId="Heading9">
    <w:name w:val="heading 9"/>
    <w:basedOn w:val="Normal"/>
    <w:next w:val="Normal"/>
    <w:qFormat/>
    <w:pPr>
      <w:keepNext/>
      <w:ind w:left="-108" w:firstLine="108"/>
      <w:outlineLvl w:val="8"/>
    </w:pPr>
    <w:rPr>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Caption">
    <w:name w:val="caption"/>
    <w:basedOn w:val="Normal"/>
    <w:next w:val="Normal"/>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66"/>
      </w:tabs>
    </w:pPr>
    <w:rPr>
      <w:rFonts w:ascii="Arial" w:hAnsi="Arial" w:cs="Arial"/>
      <w:sz w:val="16"/>
    </w:rPr>
  </w:style>
  <w:style w:type="paragraph" w:styleId="BodyText2">
    <w:name w:val="Body Text 2"/>
    <w:basedOn w:val="Normal"/>
    <w:rPr>
      <w:rFonts w:ascii="Arial" w:hAnsi="Arial" w:cs="Arial"/>
      <w:b/>
      <w:bCs/>
      <w:sz w:val="16"/>
    </w:rPr>
  </w:style>
  <w:style w:type="paragraph" w:styleId="BalloonText">
    <w:name w:val="Balloon Text"/>
    <w:basedOn w:val="Normal"/>
    <w:semiHidden/>
    <w:rsid w:val="004E7E3A"/>
    <w:rPr>
      <w:rFonts w:ascii="Tahoma" w:hAnsi="Tahoma" w:cs="Tahoma"/>
      <w:sz w:val="16"/>
      <w:szCs w:val="16"/>
    </w:rPr>
  </w:style>
  <w:style w:type="character" w:styleId="CommentReference">
    <w:name w:val="annotation reference"/>
    <w:semiHidden/>
    <w:rsid w:val="004E7E3A"/>
    <w:rPr>
      <w:sz w:val="16"/>
      <w:szCs w:val="16"/>
    </w:rPr>
  </w:style>
  <w:style w:type="paragraph" w:styleId="CommentText">
    <w:name w:val="annotation text"/>
    <w:basedOn w:val="Normal"/>
    <w:link w:val="CommentTextChar"/>
    <w:semiHidden/>
    <w:rsid w:val="004E7E3A"/>
    <w:rPr>
      <w:sz w:val="20"/>
      <w:szCs w:val="20"/>
    </w:rPr>
  </w:style>
  <w:style w:type="paragraph" w:styleId="CommentSubject">
    <w:name w:val="annotation subject"/>
    <w:basedOn w:val="CommentText"/>
    <w:next w:val="CommentText"/>
    <w:semiHidden/>
    <w:rsid w:val="004E7E3A"/>
    <w:rPr>
      <w:b/>
      <w:bCs/>
    </w:rPr>
  </w:style>
  <w:style w:type="paragraph" w:customStyle="1" w:styleId="Default">
    <w:name w:val="Default"/>
    <w:rsid w:val="00E55D2A"/>
    <w:pPr>
      <w:autoSpaceDE w:val="0"/>
      <w:autoSpaceDN w:val="0"/>
      <w:adjustRightInd w:val="0"/>
    </w:pPr>
    <w:rPr>
      <w:color w:val="000000"/>
      <w:sz w:val="24"/>
      <w:szCs w:val="24"/>
    </w:rPr>
  </w:style>
  <w:style w:type="character" w:customStyle="1" w:styleId="CommentTextChar">
    <w:name w:val="Comment Text Char"/>
    <w:link w:val="CommentText"/>
    <w:semiHidden/>
    <w:rsid w:val="00F612BB"/>
    <w:rPr>
      <w:lang w:eastAsia="en-US"/>
    </w:rPr>
  </w:style>
  <w:style w:type="paragraph" w:styleId="Revision">
    <w:name w:val="Revision"/>
    <w:hidden/>
    <w:uiPriority w:val="99"/>
    <w:semiHidden/>
    <w:rsid w:val="006B6D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357">
      <w:bodyDiv w:val="1"/>
      <w:marLeft w:val="0"/>
      <w:marRight w:val="0"/>
      <w:marTop w:val="0"/>
      <w:marBottom w:val="0"/>
      <w:divBdr>
        <w:top w:val="none" w:sz="0" w:space="0" w:color="auto"/>
        <w:left w:val="none" w:sz="0" w:space="0" w:color="auto"/>
        <w:bottom w:val="none" w:sz="0" w:space="0" w:color="auto"/>
        <w:right w:val="none" w:sz="0" w:space="0" w:color="auto"/>
      </w:divBdr>
    </w:div>
    <w:div w:id="54090122">
      <w:bodyDiv w:val="1"/>
      <w:marLeft w:val="0"/>
      <w:marRight w:val="0"/>
      <w:marTop w:val="0"/>
      <w:marBottom w:val="0"/>
      <w:divBdr>
        <w:top w:val="none" w:sz="0" w:space="0" w:color="auto"/>
        <w:left w:val="none" w:sz="0" w:space="0" w:color="auto"/>
        <w:bottom w:val="none" w:sz="0" w:space="0" w:color="auto"/>
        <w:right w:val="none" w:sz="0" w:space="0" w:color="auto"/>
      </w:divBdr>
    </w:div>
    <w:div w:id="141429888">
      <w:bodyDiv w:val="1"/>
      <w:marLeft w:val="0"/>
      <w:marRight w:val="0"/>
      <w:marTop w:val="0"/>
      <w:marBottom w:val="0"/>
      <w:divBdr>
        <w:top w:val="none" w:sz="0" w:space="0" w:color="auto"/>
        <w:left w:val="none" w:sz="0" w:space="0" w:color="auto"/>
        <w:bottom w:val="none" w:sz="0" w:space="0" w:color="auto"/>
        <w:right w:val="none" w:sz="0" w:space="0" w:color="auto"/>
      </w:divBdr>
    </w:div>
    <w:div w:id="263879703">
      <w:bodyDiv w:val="1"/>
      <w:marLeft w:val="0"/>
      <w:marRight w:val="0"/>
      <w:marTop w:val="0"/>
      <w:marBottom w:val="0"/>
      <w:divBdr>
        <w:top w:val="none" w:sz="0" w:space="0" w:color="auto"/>
        <w:left w:val="none" w:sz="0" w:space="0" w:color="auto"/>
        <w:bottom w:val="none" w:sz="0" w:space="0" w:color="auto"/>
        <w:right w:val="none" w:sz="0" w:space="0" w:color="auto"/>
      </w:divBdr>
    </w:div>
    <w:div w:id="284894614">
      <w:bodyDiv w:val="1"/>
      <w:marLeft w:val="0"/>
      <w:marRight w:val="0"/>
      <w:marTop w:val="0"/>
      <w:marBottom w:val="0"/>
      <w:divBdr>
        <w:top w:val="none" w:sz="0" w:space="0" w:color="auto"/>
        <w:left w:val="none" w:sz="0" w:space="0" w:color="auto"/>
        <w:bottom w:val="none" w:sz="0" w:space="0" w:color="auto"/>
        <w:right w:val="none" w:sz="0" w:space="0" w:color="auto"/>
      </w:divBdr>
    </w:div>
    <w:div w:id="299697088">
      <w:bodyDiv w:val="1"/>
      <w:marLeft w:val="0"/>
      <w:marRight w:val="0"/>
      <w:marTop w:val="0"/>
      <w:marBottom w:val="0"/>
      <w:divBdr>
        <w:top w:val="none" w:sz="0" w:space="0" w:color="auto"/>
        <w:left w:val="none" w:sz="0" w:space="0" w:color="auto"/>
        <w:bottom w:val="none" w:sz="0" w:space="0" w:color="auto"/>
        <w:right w:val="none" w:sz="0" w:space="0" w:color="auto"/>
      </w:divBdr>
    </w:div>
    <w:div w:id="300430384">
      <w:bodyDiv w:val="1"/>
      <w:marLeft w:val="0"/>
      <w:marRight w:val="0"/>
      <w:marTop w:val="0"/>
      <w:marBottom w:val="0"/>
      <w:divBdr>
        <w:top w:val="none" w:sz="0" w:space="0" w:color="auto"/>
        <w:left w:val="none" w:sz="0" w:space="0" w:color="auto"/>
        <w:bottom w:val="none" w:sz="0" w:space="0" w:color="auto"/>
        <w:right w:val="none" w:sz="0" w:space="0" w:color="auto"/>
      </w:divBdr>
    </w:div>
    <w:div w:id="331223377">
      <w:bodyDiv w:val="1"/>
      <w:marLeft w:val="0"/>
      <w:marRight w:val="0"/>
      <w:marTop w:val="0"/>
      <w:marBottom w:val="0"/>
      <w:divBdr>
        <w:top w:val="none" w:sz="0" w:space="0" w:color="auto"/>
        <w:left w:val="none" w:sz="0" w:space="0" w:color="auto"/>
        <w:bottom w:val="none" w:sz="0" w:space="0" w:color="auto"/>
        <w:right w:val="none" w:sz="0" w:space="0" w:color="auto"/>
      </w:divBdr>
    </w:div>
    <w:div w:id="412703104">
      <w:bodyDiv w:val="1"/>
      <w:marLeft w:val="0"/>
      <w:marRight w:val="0"/>
      <w:marTop w:val="0"/>
      <w:marBottom w:val="0"/>
      <w:divBdr>
        <w:top w:val="none" w:sz="0" w:space="0" w:color="auto"/>
        <w:left w:val="none" w:sz="0" w:space="0" w:color="auto"/>
        <w:bottom w:val="none" w:sz="0" w:space="0" w:color="auto"/>
        <w:right w:val="none" w:sz="0" w:space="0" w:color="auto"/>
      </w:divBdr>
    </w:div>
    <w:div w:id="443616546">
      <w:bodyDiv w:val="1"/>
      <w:marLeft w:val="0"/>
      <w:marRight w:val="0"/>
      <w:marTop w:val="0"/>
      <w:marBottom w:val="0"/>
      <w:divBdr>
        <w:top w:val="none" w:sz="0" w:space="0" w:color="auto"/>
        <w:left w:val="none" w:sz="0" w:space="0" w:color="auto"/>
        <w:bottom w:val="none" w:sz="0" w:space="0" w:color="auto"/>
        <w:right w:val="none" w:sz="0" w:space="0" w:color="auto"/>
      </w:divBdr>
    </w:div>
    <w:div w:id="460003051">
      <w:bodyDiv w:val="1"/>
      <w:marLeft w:val="0"/>
      <w:marRight w:val="0"/>
      <w:marTop w:val="0"/>
      <w:marBottom w:val="0"/>
      <w:divBdr>
        <w:top w:val="none" w:sz="0" w:space="0" w:color="auto"/>
        <w:left w:val="none" w:sz="0" w:space="0" w:color="auto"/>
        <w:bottom w:val="none" w:sz="0" w:space="0" w:color="auto"/>
        <w:right w:val="none" w:sz="0" w:space="0" w:color="auto"/>
      </w:divBdr>
    </w:div>
    <w:div w:id="485247008">
      <w:bodyDiv w:val="1"/>
      <w:marLeft w:val="0"/>
      <w:marRight w:val="0"/>
      <w:marTop w:val="0"/>
      <w:marBottom w:val="0"/>
      <w:divBdr>
        <w:top w:val="none" w:sz="0" w:space="0" w:color="auto"/>
        <w:left w:val="none" w:sz="0" w:space="0" w:color="auto"/>
        <w:bottom w:val="none" w:sz="0" w:space="0" w:color="auto"/>
        <w:right w:val="none" w:sz="0" w:space="0" w:color="auto"/>
      </w:divBdr>
    </w:div>
    <w:div w:id="568613931">
      <w:bodyDiv w:val="1"/>
      <w:marLeft w:val="0"/>
      <w:marRight w:val="0"/>
      <w:marTop w:val="0"/>
      <w:marBottom w:val="0"/>
      <w:divBdr>
        <w:top w:val="none" w:sz="0" w:space="0" w:color="auto"/>
        <w:left w:val="none" w:sz="0" w:space="0" w:color="auto"/>
        <w:bottom w:val="none" w:sz="0" w:space="0" w:color="auto"/>
        <w:right w:val="none" w:sz="0" w:space="0" w:color="auto"/>
      </w:divBdr>
      <w:divsChild>
        <w:div w:id="3633227">
          <w:marLeft w:val="0"/>
          <w:marRight w:val="0"/>
          <w:marTop w:val="0"/>
          <w:marBottom w:val="0"/>
          <w:divBdr>
            <w:top w:val="none" w:sz="0" w:space="0" w:color="auto"/>
            <w:left w:val="none" w:sz="0" w:space="0" w:color="auto"/>
            <w:bottom w:val="none" w:sz="0" w:space="0" w:color="auto"/>
            <w:right w:val="none" w:sz="0" w:space="0" w:color="auto"/>
          </w:divBdr>
          <w:divsChild>
            <w:div w:id="631716224">
              <w:marLeft w:val="0"/>
              <w:marRight w:val="0"/>
              <w:marTop w:val="0"/>
              <w:marBottom w:val="0"/>
              <w:divBdr>
                <w:top w:val="none" w:sz="0" w:space="0" w:color="auto"/>
                <w:left w:val="none" w:sz="0" w:space="0" w:color="auto"/>
                <w:bottom w:val="none" w:sz="0" w:space="0" w:color="auto"/>
                <w:right w:val="none" w:sz="0" w:space="0" w:color="auto"/>
              </w:divBdr>
              <w:divsChild>
                <w:div w:id="1118720867">
                  <w:marLeft w:val="7485"/>
                  <w:marRight w:val="0"/>
                  <w:marTop w:val="0"/>
                  <w:marBottom w:val="0"/>
                  <w:divBdr>
                    <w:top w:val="none" w:sz="0" w:space="0" w:color="auto"/>
                    <w:left w:val="none" w:sz="0" w:space="0" w:color="auto"/>
                    <w:bottom w:val="none" w:sz="0" w:space="0" w:color="auto"/>
                    <w:right w:val="none" w:sz="0" w:space="0" w:color="auto"/>
                  </w:divBdr>
                  <w:divsChild>
                    <w:div w:id="1259367994">
                      <w:marLeft w:val="0"/>
                      <w:marRight w:val="0"/>
                      <w:marTop w:val="0"/>
                      <w:marBottom w:val="0"/>
                      <w:divBdr>
                        <w:top w:val="none" w:sz="0" w:space="0" w:color="auto"/>
                        <w:left w:val="none" w:sz="0" w:space="0" w:color="auto"/>
                        <w:bottom w:val="none" w:sz="0" w:space="0" w:color="auto"/>
                        <w:right w:val="none" w:sz="0" w:space="0" w:color="auto"/>
                      </w:divBdr>
                      <w:divsChild>
                        <w:div w:id="637225614">
                          <w:marLeft w:val="0"/>
                          <w:marRight w:val="0"/>
                          <w:marTop w:val="0"/>
                          <w:marBottom w:val="0"/>
                          <w:divBdr>
                            <w:top w:val="none" w:sz="0" w:space="0" w:color="auto"/>
                            <w:left w:val="none" w:sz="0" w:space="0" w:color="auto"/>
                            <w:bottom w:val="none" w:sz="0" w:space="0" w:color="auto"/>
                            <w:right w:val="none" w:sz="0" w:space="0" w:color="auto"/>
                          </w:divBdr>
                          <w:divsChild>
                            <w:div w:id="20647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5115">
      <w:bodyDiv w:val="1"/>
      <w:marLeft w:val="0"/>
      <w:marRight w:val="0"/>
      <w:marTop w:val="0"/>
      <w:marBottom w:val="0"/>
      <w:divBdr>
        <w:top w:val="none" w:sz="0" w:space="0" w:color="auto"/>
        <w:left w:val="none" w:sz="0" w:space="0" w:color="auto"/>
        <w:bottom w:val="none" w:sz="0" w:space="0" w:color="auto"/>
        <w:right w:val="none" w:sz="0" w:space="0" w:color="auto"/>
      </w:divBdr>
    </w:div>
    <w:div w:id="631833503">
      <w:bodyDiv w:val="1"/>
      <w:marLeft w:val="0"/>
      <w:marRight w:val="0"/>
      <w:marTop w:val="0"/>
      <w:marBottom w:val="0"/>
      <w:divBdr>
        <w:top w:val="none" w:sz="0" w:space="0" w:color="auto"/>
        <w:left w:val="none" w:sz="0" w:space="0" w:color="auto"/>
        <w:bottom w:val="none" w:sz="0" w:space="0" w:color="auto"/>
        <w:right w:val="none" w:sz="0" w:space="0" w:color="auto"/>
      </w:divBdr>
    </w:div>
    <w:div w:id="660736667">
      <w:bodyDiv w:val="1"/>
      <w:marLeft w:val="0"/>
      <w:marRight w:val="0"/>
      <w:marTop w:val="0"/>
      <w:marBottom w:val="0"/>
      <w:divBdr>
        <w:top w:val="none" w:sz="0" w:space="0" w:color="auto"/>
        <w:left w:val="none" w:sz="0" w:space="0" w:color="auto"/>
        <w:bottom w:val="none" w:sz="0" w:space="0" w:color="auto"/>
        <w:right w:val="none" w:sz="0" w:space="0" w:color="auto"/>
      </w:divBdr>
    </w:div>
    <w:div w:id="671223541">
      <w:bodyDiv w:val="1"/>
      <w:marLeft w:val="0"/>
      <w:marRight w:val="0"/>
      <w:marTop w:val="0"/>
      <w:marBottom w:val="0"/>
      <w:divBdr>
        <w:top w:val="none" w:sz="0" w:space="0" w:color="auto"/>
        <w:left w:val="none" w:sz="0" w:space="0" w:color="auto"/>
        <w:bottom w:val="none" w:sz="0" w:space="0" w:color="auto"/>
        <w:right w:val="none" w:sz="0" w:space="0" w:color="auto"/>
      </w:divBdr>
    </w:div>
    <w:div w:id="737745747">
      <w:bodyDiv w:val="1"/>
      <w:marLeft w:val="0"/>
      <w:marRight w:val="0"/>
      <w:marTop w:val="0"/>
      <w:marBottom w:val="0"/>
      <w:divBdr>
        <w:top w:val="none" w:sz="0" w:space="0" w:color="auto"/>
        <w:left w:val="none" w:sz="0" w:space="0" w:color="auto"/>
        <w:bottom w:val="none" w:sz="0" w:space="0" w:color="auto"/>
        <w:right w:val="none" w:sz="0" w:space="0" w:color="auto"/>
      </w:divBdr>
    </w:div>
    <w:div w:id="897207962">
      <w:bodyDiv w:val="1"/>
      <w:marLeft w:val="0"/>
      <w:marRight w:val="0"/>
      <w:marTop w:val="0"/>
      <w:marBottom w:val="0"/>
      <w:divBdr>
        <w:top w:val="none" w:sz="0" w:space="0" w:color="auto"/>
        <w:left w:val="none" w:sz="0" w:space="0" w:color="auto"/>
        <w:bottom w:val="none" w:sz="0" w:space="0" w:color="auto"/>
        <w:right w:val="none" w:sz="0" w:space="0" w:color="auto"/>
      </w:divBdr>
    </w:div>
    <w:div w:id="973410173">
      <w:bodyDiv w:val="1"/>
      <w:marLeft w:val="0"/>
      <w:marRight w:val="0"/>
      <w:marTop w:val="0"/>
      <w:marBottom w:val="0"/>
      <w:divBdr>
        <w:top w:val="none" w:sz="0" w:space="0" w:color="auto"/>
        <w:left w:val="none" w:sz="0" w:space="0" w:color="auto"/>
        <w:bottom w:val="none" w:sz="0" w:space="0" w:color="auto"/>
        <w:right w:val="none" w:sz="0" w:space="0" w:color="auto"/>
      </w:divBdr>
    </w:div>
    <w:div w:id="975792029">
      <w:bodyDiv w:val="1"/>
      <w:marLeft w:val="0"/>
      <w:marRight w:val="0"/>
      <w:marTop w:val="0"/>
      <w:marBottom w:val="0"/>
      <w:divBdr>
        <w:top w:val="none" w:sz="0" w:space="0" w:color="auto"/>
        <w:left w:val="none" w:sz="0" w:space="0" w:color="auto"/>
        <w:bottom w:val="none" w:sz="0" w:space="0" w:color="auto"/>
        <w:right w:val="none" w:sz="0" w:space="0" w:color="auto"/>
      </w:divBdr>
    </w:div>
    <w:div w:id="991367622">
      <w:bodyDiv w:val="1"/>
      <w:marLeft w:val="0"/>
      <w:marRight w:val="0"/>
      <w:marTop w:val="0"/>
      <w:marBottom w:val="0"/>
      <w:divBdr>
        <w:top w:val="none" w:sz="0" w:space="0" w:color="auto"/>
        <w:left w:val="none" w:sz="0" w:space="0" w:color="auto"/>
        <w:bottom w:val="none" w:sz="0" w:space="0" w:color="auto"/>
        <w:right w:val="none" w:sz="0" w:space="0" w:color="auto"/>
      </w:divBdr>
    </w:div>
    <w:div w:id="1040017088">
      <w:bodyDiv w:val="1"/>
      <w:marLeft w:val="0"/>
      <w:marRight w:val="0"/>
      <w:marTop w:val="0"/>
      <w:marBottom w:val="0"/>
      <w:divBdr>
        <w:top w:val="none" w:sz="0" w:space="0" w:color="auto"/>
        <w:left w:val="none" w:sz="0" w:space="0" w:color="auto"/>
        <w:bottom w:val="none" w:sz="0" w:space="0" w:color="auto"/>
        <w:right w:val="none" w:sz="0" w:space="0" w:color="auto"/>
      </w:divBdr>
    </w:div>
    <w:div w:id="1156989612">
      <w:bodyDiv w:val="1"/>
      <w:marLeft w:val="0"/>
      <w:marRight w:val="0"/>
      <w:marTop w:val="0"/>
      <w:marBottom w:val="0"/>
      <w:divBdr>
        <w:top w:val="none" w:sz="0" w:space="0" w:color="auto"/>
        <w:left w:val="none" w:sz="0" w:space="0" w:color="auto"/>
        <w:bottom w:val="none" w:sz="0" w:space="0" w:color="auto"/>
        <w:right w:val="none" w:sz="0" w:space="0" w:color="auto"/>
      </w:divBdr>
    </w:div>
    <w:div w:id="1180660240">
      <w:bodyDiv w:val="1"/>
      <w:marLeft w:val="0"/>
      <w:marRight w:val="0"/>
      <w:marTop w:val="0"/>
      <w:marBottom w:val="0"/>
      <w:divBdr>
        <w:top w:val="none" w:sz="0" w:space="0" w:color="auto"/>
        <w:left w:val="none" w:sz="0" w:space="0" w:color="auto"/>
        <w:bottom w:val="none" w:sz="0" w:space="0" w:color="auto"/>
        <w:right w:val="none" w:sz="0" w:space="0" w:color="auto"/>
      </w:divBdr>
    </w:div>
    <w:div w:id="1282228064">
      <w:bodyDiv w:val="1"/>
      <w:marLeft w:val="0"/>
      <w:marRight w:val="0"/>
      <w:marTop w:val="0"/>
      <w:marBottom w:val="0"/>
      <w:divBdr>
        <w:top w:val="none" w:sz="0" w:space="0" w:color="auto"/>
        <w:left w:val="none" w:sz="0" w:space="0" w:color="auto"/>
        <w:bottom w:val="none" w:sz="0" w:space="0" w:color="auto"/>
        <w:right w:val="none" w:sz="0" w:space="0" w:color="auto"/>
      </w:divBdr>
    </w:div>
    <w:div w:id="1357775406">
      <w:bodyDiv w:val="1"/>
      <w:marLeft w:val="0"/>
      <w:marRight w:val="0"/>
      <w:marTop w:val="0"/>
      <w:marBottom w:val="0"/>
      <w:divBdr>
        <w:top w:val="none" w:sz="0" w:space="0" w:color="auto"/>
        <w:left w:val="none" w:sz="0" w:space="0" w:color="auto"/>
        <w:bottom w:val="none" w:sz="0" w:space="0" w:color="auto"/>
        <w:right w:val="none" w:sz="0" w:space="0" w:color="auto"/>
      </w:divBdr>
    </w:div>
    <w:div w:id="1363631796">
      <w:bodyDiv w:val="1"/>
      <w:marLeft w:val="0"/>
      <w:marRight w:val="0"/>
      <w:marTop w:val="0"/>
      <w:marBottom w:val="0"/>
      <w:divBdr>
        <w:top w:val="none" w:sz="0" w:space="0" w:color="auto"/>
        <w:left w:val="none" w:sz="0" w:space="0" w:color="auto"/>
        <w:bottom w:val="none" w:sz="0" w:space="0" w:color="auto"/>
        <w:right w:val="none" w:sz="0" w:space="0" w:color="auto"/>
      </w:divBdr>
    </w:div>
    <w:div w:id="1572503500">
      <w:bodyDiv w:val="1"/>
      <w:marLeft w:val="0"/>
      <w:marRight w:val="0"/>
      <w:marTop w:val="0"/>
      <w:marBottom w:val="0"/>
      <w:divBdr>
        <w:top w:val="none" w:sz="0" w:space="0" w:color="auto"/>
        <w:left w:val="none" w:sz="0" w:space="0" w:color="auto"/>
        <w:bottom w:val="none" w:sz="0" w:space="0" w:color="auto"/>
        <w:right w:val="none" w:sz="0" w:space="0" w:color="auto"/>
      </w:divBdr>
    </w:div>
    <w:div w:id="1661734744">
      <w:bodyDiv w:val="1"/>
      <w:marLeft w:val="0"/>
      <w:marRight w:val="0"/>
      <w:marTop w:val="0"/>
      <w:marBottom w:val="0"/>
      <w:divBdr>
        <w:top w:val="none" w:sz="0" w:space="0" w:color="auto"/>
        <w:left w:val="none" w:sz="0" w:space="0" w:color="auto"/>
        <w:bottom w:val="none" w:sz="0" w:space="0" w:color="auto"/>
        <w:right w:val="none" w:sz="0" w:space="0" w:color="auto"/>
      </w:divBdr>
    </w:div>
    <w:div w:id="1820656146">
      <w:bodyDiv w:val="1"/>
      <w:marLeft w:val="0"/>
      <w:marRight w:val="0"/>
      <w:marTop w:val="0"/>
      <w:marBottom w:val="0"/>
      <w:divBdr>
        <w:top w:val="none" w:sz="0" w:space="0" w:color="auto"/>
        <w:left w:val="none" w:sz="0" w:space="0" w:color="auto"/>
        <w:bottom w:val="none" w:sz="0" w:space="0" w:color="auto"/>
        <w:right w:val="none" w:sz="0" w:space="0" w:color="auto"/>
      </w:divBdr>
    </w:div>
    <w:div w:id="1822848613">
      <w:bodyDiv w:val="1"/>
      <w:marLeft w:val="0"/>
      <w:marRight w:val="0"/>
      <w:marTop w:val="0"/>
      <w:marBottom w:val="0"/>
      <w:divBdr>
        <w:top w:val="none" w:sz="0" w:space="0" w:color="auto"/>
        <w:left w:val="none" w:sz="0" w:space="0" w:color="auto"/>
        <w:bottom w:val="none" w:sz="0" w:space="0" w:color="auto"/>
        <w:right w:val="none" w:sz="0" w:space="0" w:color="auto"/>
      </w:divBdr>
    </w:div>
    <w:div w:id="1951085473">
      <w:bodyDiv w:val="1"/>
      <w:marLeft w:val="0"/>
      <w:marRight w:val="0"/>
      <w:marTop w:val="0"/>
      <w:marBottom w:val="0"/>
      <w:divBdr>
        <w:top w:val="none" w:sz="0" w:space="0" w:color="auto"/>
        <w:left w:val="none" w:sz="0" w:space="0" w:color="auto"/>
        <w:bottom w:val="none" w:sz="0" w:space="0" w:color="auto"/>
        <w:right w:val="none" w:sz="0" w:space="0" w:color="auto"/>
      </w:divBdr>
    </w:div>
    <w:div w:id="19596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DRUGS REQUIRING SPECIAL MONITORING</vt:lpstr>
    </vt:vector>
  </TitlesOfParts>
  <Company>Central Southampton PCG</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REQUIRING SPECIAL MONITORING</dc:title>
  <dc:creator>Julia Bowey</dc:creator>
  <cp:lastModifiedBy>Julie Robbins</cp:lastModifiedBy>
  <cp:revision>2</cp:revision>
  <cp:lastPrinted>2010-07-14T15:55:00Z</cp:lastPrinted>
  <dcterms:created xsi:type="dcterms:W3CDTF">2021-09-02T10:57:00Z</dcterms:created>
  <dcterms:modified xsi:type="dcterms:W3CDTF">2021-09-02T10:57:00Z</dcterms:modified>
</cp:coreProperties>
</file>